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368"/>
      </w:tblGrid>
      <w:tr>
        <w:tc>
          <w:tcPr>
            <w:tcW w:type="dxa" w:w="10368"/>
            <w:shd w:fill="5E2C1B"/>
            <w:tcMar>
              <w:top w:w="220" w:type="dxa"/>
              <w:start w:w="220" w:type="dxa"/>
              <w:bottom w:w="220" w:type="dxa"/>
              <w:end w:w="220" w:type="dxa"/>
            </w:tcMar>
          </w:tcPr>
          <w:p>
            <w:pPr>
              <w:spacing w:before="0" w:after="40"/>
              <w:jc w:val="center"/>
            </w:pPr>
            <w:r>
              <w:rPr>
                <w:rFonts w:ascii="Arial" w:hAnsi="Arial"/>
                <w:b/>
                <w:color w:val="787878"/>
                <w:sz w:val="18"/>
              </w:rPr>
              <w:t>DISCIPLESHIP IN ACTION</w:t>
            </w:r>
          </w:p>
          <w:p>
            <w:pPr>
              <w:spacing w:before="0" w:after="40"/>
              <w:jc w:val="center"/>
            </w:pPr>
            <w:r>
              <w:rPr>
                <w:rFonts w:ascii="Arial" w:hAnsi="Arial"/>
                <w:b/>
                <w:color w:val="5F5F5F"/>
                <w:sz w:val="34"/>
              </w:rPr>
              <w:t>Discipleship &amp; Ministry Guide</w:t>
            </w:r>
          </w:p>
          <w:p>
            <w:pPr>
              <w:spacing w:before="0" w:after="40"/>
              <w:jc w:val="center"/>
            </w:pPr>
            <w:r>
              <w:rPr>
                <w:rFonts w:ascii="Arial" w:hAnsi="Arial"/>
                <w:b w:val="0"/>
                <w:color w:val="000000"/>
                <w:sz w:val="22"/>
              </w:rPr>
              <w:t>Following Jesus. Loving God. Loving others. Living it out.</w:t>
            </w:r>
          </w:p>
        </w:tc>
      </w:tr>
    </w:tbl>
    <w:tbl>
      <w:tblPr>
        <w:tblW w:type="auto" w:w="0"/>
        <w:jc w:val="center"/>
        <w:tblLook w:firstColumn="1" w:firstRow="1" w:lastColumn="0" w:lastRow="0" w:noHBand="0" w:noVBand="1" w:val="04A0"/>
      </w:tblPr>
      <w:tblGrid>
        <w:gridCol w:w="10368"/>
      </w:tblGrid>
      <w:tr>
        <w:tc>
          <w:tcPr>
            <w:tcW w:type="dxa" w:w="10368"/>
            <w:shd w:fill="F0DED3"/>
            <w:tcMar>
              <w:top w:w="110" w:type="dxa"/>
              <w:start w:w="140" w:type="dxa"/>
              <w:bottom w:w="110" w:type="dxa"/>
              <w:end w:w="140" w:type="dxa"/>
            </w:tcMar>
          </w:tcPr>
          <w:p>
            <w:r>
              <w:t>PURPOSE</w:t>
              <w:br/>
              <w:t>This guide helps participants understand what Discipleship in Action is, what they are learning, how ministry and shared life support discipleship, and what they can expect as they follow Jesus in community.</w:t>
            </w:r>
          </w:p>
        </w:tc>
      </w:tr>
    </w:tbl>
    <w:p>
      <w:pPr>
        <w:pStyle w:val="Heading1"/>
        <w:spacing w:after="80" w:line="257" w:lineRule="auto" w:before="160"/>
      </w:pPr>
      <w:r>
        <w:rPr>
          <w:rFonts w:ascii="Arial" w:hAnsi="Arial"/>
          <w:b/>
          <w:color w:val="000000"/>
          <w:sz w:val="26"/>
        </w:rPr>
        <w:t>1. What Discipleship in Action Is</w:t>
      </w:r>
    </w:p>
    <w:p>
      <w:pPr>
        <w:spacing w:after="60" w:line="252" w:lineRule="auto" w:before="0"/>
      </w:pPr>
      <w:r>
        <w:rPr>
          <w:rFonts w:ascii="Arial" w:hAnsi="Arial"/>
          <w:b w:val="0"/>
          <w:i w:val="0"/>
          <w:color w:val="000000"/>
          <w:sz w:val="19"/>
        </w:rPr>
        <w:t>Discipleship in Action is a Christian community centered on following Jesus together. It is not primarily a Bible school, classroom program, humanitarian project, or ministry built around the personality of a pastor or teacher. Human leaders serve, teach, guide, protect, and provide accountability, but Jesus is the true leader of the community.</w:t>
      </w:r>
    </w:p>
    <w:p>
      <w:pPr>
        <w:spacing w:after="60" w:line="252" w:lineRule="auto" w:before="0"/>
      </w:pPr>
      <w:r>
        <w:rPr>
          <w:rFonts w:ascii="Arial" w:hAnsi="Arial"/>
          <w:b w:val="0"/>
          <w:i w:val="0"/>
          <w:color w:val="000000"/>
          <w:sz w:val="19"/>
        </w:rPr>
        <w:t>Participants learn through shared life, real ministry, Scripture, prayer, essential theological teaching, mentoring, questions, reflection, correction, and repeated practice. Ministry begins from the start rather than after a classroom phase.</w:t>
      </w:r>
    </w:p>
    <w:tbl>
      <w:tblPr>
        <w:tblW w:type="auto" w:w="0"/>
        <w:jc w:val="center"/>
        <w:tblLook w:firstColumn="1" w:firstRow="1" w:lastColumn="0" w:lastRow="0" w:noHBand="0" w:noVBand="1" w:val="04A0"/>
      </w:tblPr>
      <w:tblGrid>
        <w:gridCol w:w="10368"/>
      </w:tblGrid>
      <w:tr>
        <w:tc>
          <w:tcPr>
            <w:tcW w:type="dxa" w:w="10368"/>
            <w:shd w:fill="F0DED3"/>
            <w:tcMar>
              <w:top w:w="110" w:type="dxa"/>
              <w:start w:w="140" w:type="dxa"/>
              <w:bottom w:w="110" w:type="dxa"/>
              <w:end w:w="140" w:type="dxa"/>
            </w:tcMar>
          </w:tcPr>
          <w:p>
            <w:r>
              <w:rPr>
                <w:rFonts w:ascii="Noto Sans" w:hAnsi="Noto Sans"/>
                <w:b/>
                <w:color w:val="9F4D27"/>
                <w:sz w:val="15"/>
              </w:rPr>
              <w:t>THE GOAL</w:t>
            </w:r>
          </w:p>
          <w:p>
            <w:pPr>
              <w:spacing w:after="0"/>
            </w:pPr>
            <w:r>
              <w:rPr>
                <w:rFonts w:ascii="Noto Serif" w:hAnsi="Noto Serif"/>
                <w:b/>
                <w:color w:val="5E2C1B"/>
                <w:sz w:val="24"/>
              </w:rPr>
              <w:t>To become more faithful disciples of Jesus - loving God, loving others, obeying Jesus, serving people, and helping others follow Him.</w:t>
            </w:r>
          </w:p>
        </w:tc>
      </w:tr>
    </w:tbl>
    <w:p>
      <w:pPr>
        <w:pStyle w:val="Heading2"/>
        <w:spacing w:after="60" w:line="257" w:lineRule="auto" w:before="100"/>
      </w:pPr>
      <w:r>
        <w:rPr>
          <w:rFonts w:ascii="Arial" w:hAnsi="Arial"/>
          <w:b/>
          <w:i w:val="0"/>
          <w:color w:val="000000"/>
          <w:sz w:val="22"/>
        </w:rPr>
        <w:t>The simple model</w:t>
      </w:r>
    </w:p>
    <w:p>
      <w:pPr>
        <w:spacing w:after="60" w:before="0" w:line="252" w:lineRule="auto"/>
      </w:pPr>
      <w:r>
        <w:rPr>
          <w:rFonts w:ascii="Arial" w:hAnsi="Arial"/>
          <w:color w:val="000000"/>
          <w:sz w:val="19"/>
        </w:rPr>
        <w:t>A Ministry House typically has about 10 people living together. In some circumstances, a participant may be allowed to live in his own home and meet the group at a ministry location for the rest of the activities, including going out for ministry.</w:t>
      </w:r>
    </w:p>
    <w:tbl>
      <w:tblPr>
        <w:tblW w:type="auto" w:w="0"/>
        <w:jc w:val="center"/>
        <w:tblLook w:firstColumn="1" w:firstRow="1" w:lastColumn="0" w:lastRow="0" w:noHBand="0" w:noVBand="1" w:val="04A0"/>
      </w:tblPr>
      <w:tblGrid>
        <w:gridCol w:w="2592"/>
        <w:gridCol w:w="2592"/>
        <w:gridCol w:w="2592"/>
        <w:gridCol w:w="2592"/>
      </w:tblGrid>
      <w:tr>
        <w:tc>
          <w:tcPr>
            <w:tcW w:type="dxa" w:w="2592"/>
            <w:shd w:fill="F8F3EB"/>
            <w:tcMar>
              <w:top w:w="95" w:type="dxa"/>
              <w:start w:w="65" w:type="dxa"/>
              <w:bottom w:w="95" w:type="dxa"/>
              <w:end w:w="65" w:type="dxa"/>
            </w:tcMar>
          </w:tcPr>
          <w:p>
            <w:pPr>
              <w:jc w:val="center"/>
            </w:pPr>
            <w:r>
              <w:rPr>
                <w:rFonts w:ascii="Noto Sans" w:hAnsi="Noto Sans"/>
                <w:b/>
                <w:color w:val="5E2C1B"/>
                <w:sz w:val="16"/>
              </w:rPr>
              <w:t>JESUS</w:t>
              <w:br/>
              <w:t>is the leader</w:t>
            </w:r>
          </w:p>
        </w:tc>
        <w:tc>
          <w:tcPr>
            <w:tcW w:type="dxa" w:w="2592"/>
            <w:shd w:fill="F0DED3"/>
            <w:tcMar>
              <w:top w:w="95" w:type="dxa"/>
              <w:start w:w="65" w:type="dxa"/>
              <w:bottom w:w="95" w:type="dxa"/>
              <w:end w:w="65" w:type="dxa"/>
            </w:tcMar>
          </w:tcPr>
          <w:p>
            <w:pPr>
              <w:jc w:val="center"/>
            </w:pPr>
            <w:r>
              <w:rPr>
                <w:rFonts w:ascii="Noto Sans" w:hAnsi="Noto Sans"/>
                <w:b/>
                <w:color w:val="5E2C1B"/>
                <w:sz w:val="16"/>
              </w:rPr>
              <w:t>THE MINISTRY HOUSE</w:t>
              <w:br/>
              <w:t>is the environment</w:t>
            </w:r>
          </w:p>
        </w:tc>
        <w:tc>
          <w:tcPr>
            <w:tcW w:type="dxa" w:w="2592"/>
            <w:shd w:fill="F8F3EB"/>
            <w:tcMar>
              <w:top w:w="95" w:type="dxa"/>
              <w:start w:w="65" w:type="dxa"/>
              <w:bottom w:w="95" w:type="dxa"/>
              <w:end w:w="65" w:type="dxa"/>
            </w:tcMar>
          </w:tcPr>
          <w:p>
            <w:pPr>
              <w:jc w:val="center"/>
            </w:pPr>
            <w:r>
              <w:rPr>
                <w:rFonts w:ascii="Noto Sans" w:hAnsi="Noto Sans"/>
                <w:b/>
                <w:color w:val="5E2C1B"/>
                <w:sz w:val="16"/>
              </w:rPr>
              <w:t>DISCIPLESHIP</w:t>
              <w:br/>
              <w:t>is the process</w:t>
            </w:r>
          </w:p>
        </w:tc>
        <w:tc>
          <w:tcPr>
            <w:tcW w:type="dxa" w:w="2592"/>
            <w:shd w:fill="F0DED3"/>
            <w:tcMar>
              <w:top w:w="95" w:type="dxa"/>
              <w:start w:w="65" w:type="dxa"/>
              <w:bottom w:w="95" w:type="dxa"/>
              <w:end w:w="65" w:type="dxa"/>
            </w:tcMar>
          </w:tcPr>
          <w:p>
            <w:pPr>
              <w:jc w:val="center"/>
            </w:pPr>
            <w:r>
              <w:rPr>
                <w:rFonts w:ascii="Noto Sans" w:hAnsi="Noto Sans"/>
                <w:b/>
                <w:color w:val="5E2C1B"/>
                <w:sz w:val="16"/>
              </w:rPr>
              <w:t>MINISTRY</w:t>
              <w:br/>
              <w:t>is the practice</w:t>
            </w:r>
          </w:p>
        </w:tc>
      </w:tr>
    </w:tbl>
    <w:p>
      <w:pPr>
        <w:spacing w:after="60" w:line="252" w:lineRule="auto" w:before="0"/>
      </w:pPr>
      <w:r>
        <w:rPr>
          <w:rFonts w:ascii="Arial" w:hAnsi="Arial"/>
          <w:b w:val="0"/>
          <w:i/>
          <w:color w:val="000000"/>
          <w:sz w:val="19"/>
        </w:rPr>
        <w:t>Following Jesus is lifelong. Residence in a Ministry House can change, but discipleship does not end.</w:t>
      </w:r>
    </w:p>
    <w:p>
      <w:pPr>
        <w:pStyle w:val="Heading2"/>
        <w:spacing w:before="100" w:after="60"/>
      </w:pPr>
      <w:r>
        <w:rPr>
          <w:rFonts w:ascii="Arial" w:hAnsi="Arial"/>
          <w:b/>
          <w:color w:val="000000"/>
          <w:sz w:val="22"/>
        </w:rPr>
        <w:t>A Normal Weekday Rhythm</w:t>
      </w:r>
    </w:p>
    <w:p>
      <w:pPr>
        <w:spacing w:before="0" w:after="60" w:line="252" w:lineRule="auto"/>
      </w:pPr>
      <w:r>
        <w:rPr>
          <w:rFonts w:ascii="Arial" w:hAnsi="Arial"/>
          <w:color w:val="000000"/>
          <w:sz w:val="19"/>
        </w:rPr>
        <w:t>The schedule can change because of ministry, travel, church events, family-freedom work, emergencies, or rest needs, but a normal day often looks like this:</w:t>
      </w:r>
    </w:p>
    <w:p>
      <w:pPr>
        <w:pStyle w:val="ListBullet"/>
        <w:spacing w:before="0" w:after="60" w:line="252" w:lineRule="auto"/>
      </w:pPr>
      <w:r>
        <w:rPr>
          <w:rFonts w:ascii="Arial" w:hAnsi="Arial"/>
          <w:color w:val="000000"/>
          <w:sz w:val="19"/>
        </w:rPr>
        <w:t>10:00 Breakfast: eat together and begin the community day.</w:t>
      </w:r>
    </w:p>
    <w:p>
      <w:pPr>
        <w:pStyle w:val="ListBullet"/>
        <w:spacing w:before="0" w:after="60" w:line="252" w:lineRule="auto"/>
      </w:pPr>
      <w:r>
        <w:rPr>
          <w:rFonts w:ascii="Arial" w:hAnsi="Arial"/>
          <w:color w:val="000000"/>
          <w:sz w:val="19"/>
        </w:rPr>
        <w:t>10:30 Pray and prepare: prayer, worship, Scripture, discussion, and ministry preparation.</w:t>
      </w:r>
    </w:p>
    <w:p>
      <w:pPr>
        <w:pStyle w:val="ListBullet"/>
        <w:spacing w:before="0" w:after="60" w:line="252" w:lineRule="auto"/>
      </w:pPr>
      <w:r>
        <w:rPr>
          <w:rFonts w:ascii="Arial" w:hAnsi="Arial"/>
          <w:color w:val="000000"/>
          <w:sz w:val="19"/>
        </w:rPr>
        <w:t>11:30-4:30 Go and serve: daily ministry in the community. Lunch may be together or with people being served.</w:t>
      </w:r>
    </w:p>
    <w:p>
      <w:pPr>
        <w:pStyle w:val="ListBullet"/>
        <w:spacing w:before="0" w:after="60" w:line="252" w:lineRule="auto"/>
      </w:pPr>
      <w:r>
        <w:rPr>
          <w:rFonts w:ascii="Arial" w:hAnsi="Arial"/>
          <w:color w:val="000000"/>
          <w:sz w:val="19"/>
        </w:rPr>
        <w:t>4:30-6:00 Rest: return, showers, personal time, and preparation for evening.</w:t>
      </w:r>
    </w:p>
    <w:p>
      <w:pPr>
        <w:pStyle w:val="ListBullet"/>
        <w:spacing w:before="0" w:after="60" w:line="252" w:lineRule="auto"/>
      </w:pPr>
      <w:r>
        <w:rPr>
          <w:rFonts w:ascii="Arial" w:hAnsi="Arial"/>
          <w:color w:val="000000"/>
          <w:sz w:val="19"/>
        </w:rPr>
        <w:t>6:00 Dinner: eat together as a community.</w:t>
      </w:r>
    </w:p>
    <w:p>
      <w:pPr>
        <w:pStyle w:val="ListBullet"/>
        <w:spacing w:before="0" w:after="60" w:line="252" w:lineRule="auto"/>
      </w:pPr>
      <w:r>
        <w:rPr>
          <w:rFonts w:ascii="Arial" w:hAnsi="Arial"/>
          <w:color w:val="000000"/>
          <w:sz w:val="19"/>
        </w:rPr>
        <w:t>7:00-8:30 Learn: Bible, discipleship, or ministry teaching.</w:t>
      </w:r>
    </w:p>
    <w:p>
      <w:pPr>
        <w:pStyle w:val="ListBullet"/>
        <w:spacing w:before="0" w:after="60" w:line="252" w:lineRule="auto"/>
      </w:pPr>
      <w:r>
        <w:rPr>
          <w:rFonts w:ascii="Arial" w:hAnsi="Arial"/>
          <w:color w:val="000000"/>
          <w:sz w:val="19"/>
        </w:rPr>
        <w:t>8:30-9:00 Reflect and pray: discuss the day, what was learned, and pray for the people served.</w:t>
      </w:r>
    </w:p>
    <w:p>
      <w:pPr>
        <w:pStyle w:val="ListBullet"/>
        <w:spacing w:before="0" w:after="60" w:line="252" w:lineRule="auto"/>
      </w:pPr>
      <w:r>
        <w:rPr>
          <w:rFonts w:ascii="Arial" w:hAnsi="Arial"/>
          <w:color w:val="000000"/>
          <w:sz w:val="19"/>
        </w:rPr>
        <w:t>After 9:00 Free time: relationships, rest, personal prayer, or Bible study.</w:t>
      </w:r>
    </w:p>
    <w:p>
      <w:pPr>
        <w:spacing w:before="0" w:after="60" w:line="252" w:lineRule="auto"/>
      </w:pPr>
      <w:r>
        <w:rPr>
          <w:rFonts w:ascii="Arial" w:hAnsi="Arial"/>
          <w:color w:val="000000"/>
          <w:sz w:val="19"/>
        </w:rPr>
        <w:t>Most weeks include planned ministry, prayer, teaching, service, shared responsibilities, and community life on about six days, with one day normally more open for rest, family, and personal needs.</w:t>
      </w:r>
    </w:p>
    <w:p>
      <w:pPr>
        <w:pStyle w:val="Heading1"/>
        <w:spacing w:after="80" w:line="257" w:lineRule="auto" w:before="160"/>
      </w:pPr>
      <w:r>
        <w:rPr>
          <w:rFonts w:ascii="Arial" w:hAnsi="Arial"/>
          <w:b/>
          <w:color w:val="000000"/>
          <w:sz w:val="26"/>
        </w:rPr>
        <w:t>2. How Discipleship Happens</w:t>
      </w:r>
    </w:p>
    <w:p>
      <w:pPr>
        <w:spacing w:after="60" w:line="252" w:lineRule="auto" w:before="0"/>
      </w:pPr>
      <w:r>
        <w:rPr>
          <w:rFonts w:ascii="Arial" w:hAnsi="Arial"/>
          <w:b w:val="0"/>
          <w:i w:val="0"/>
          <w:color w:val="000000"/>
          <w:sz w:val="19"/>
        </w:rPr>
        <w:t>DIA uses a simple learning process that can happen during ministry, while walking or traveling, at meals, while working, during a visit, after a difficult encounter, at the Ministry House, or whenever a natural and safe teaching opportunity arises.</w:t>
      </w:r>
    </w:p>
    <w:tbl>
      <w:tblPr>
        <w:tblW w:type="auto" w:w="0"/>
        <w:jc w:val="center"/>
        <w:tblLook w:firstColumn="1" w:firstRow="1" w:lastColumn="0" w:lastRow="0" w:noHBand="0" w:noVBand="1" w:val="04A0"/>
      </w:tblPr>
      <w:tblGrid>
        <w:gridCol w:w="1728"/>
        <w:gridCol w:w="1728"/>
        <w:gridCol w:w="1728"/>
        <w:gridCol w:w="1728"/>
        <w:gridCol w:w="1728"/>
        <w:gridCol w:w="1728"/>
      </w:tblGrid>
      <w:tr>
        <w:tc>
          <w:tcPr>
            <w:tcW w:type="dxa" w:w="1728"/>
            <w:shd w:fill="5E2C1B"/>
            <w:tcMar>
              <w:top w:w="95" w:type="dxa"/>
              <w:start w:w="65" w:type="dxa"/>
              <w:bottom w:w="95" w:type="dxa"/>
              <w:end w:w="65" w:type="dxa"/>
            </w:tcMar>
          </w:tcPr>
          <w:p>
            <w:pPr>
              <w:jc w:val="center"/>
            </w:pPr>
            <w:r>
              <w:rPr>
                <w:rFonts w:ascii="Noto Sans" w:hAnsi="Noto Sans"/>
                <w:b/>
                <w:color w:val="FFFDF9"/>
                <w:sz w:val="16"/>
              </w:rPr>
              <w:t>NOTICE</w:t>
            </w:r>
          </w:p>
        </w:tc>
        <w:tc>
          <w:tcPr>
            <w:tcW w:type="dxa" w:w="1728"/>
            <w:shd w:fill="5E2C1B"/>
            <w:tcMar>
              <w:top w:w="95" w:type="dxa"/>
              <w:start w:w="65" w:type="dxa"/>
              <w:bottom w:w="95" w:type="dxa"/>
              <w:end w:w="65" w:type="dxa"/>
            </w:tcMar>
          </w:tcPr>
          <w:p>
            <w:pPr>
              <w:jc w:val="center"/>
            </w:pPr>
            <w:r>
              <w:rPr>
                <w:rFonts w:ascii="Noto Sans" w:hAnsi="Noto Sans"/>
                <w:b/>
                <w:color w:val="FFFDF9"/>
                <w:sz w:val="16"/>
              </w:rPr>
              <w:t>ASK</w:t>
            </w:r>
          </w:p>
        </w:tc>
        <w:tc>
          <w:tcPr>
            <w:tcW w:type="dxa" w:w="1728"/>
            <w:shd w:fill="5E2C1B"/>
            <w:tcMar>
              <w:top w:w="95" w:type="dxa"/>
              <w:start w:w="65" w:type="dxa"/>
              <w:bottom w:w="95" w:type="dxa"/>
              <w:end w:w="65" w:type="dxa"/>
            </w:tcMar>
          </w:tcPr>
          <w:p>
            <w:pPr>
              <w:jc w:val="center"/>
            </w:pPr>
            <w:r>
              <w:rPr>
                <w:rFonts w:ascii="Noto Sans" w:hAnsi="Noto Sans"/>
                <w:b/>
                <w:color w:val="FFFDF9"/>
                <w:sz w:val="16"/>
              </w:rPr>
              <w:t>LISTEN</w:t>
            </w:r>
          </w:p>
        </w:tc>
        <w:tc>
          <w:tcPr>
            <w:tcW w:type="dxa" w:w="1728"/>
            <w:shd w:fill="5E2C1B"/>
            <w:tcMar>
              <w:top w:w="95" w:type="dxa"/>
              <w:start w:w="65" w:type="dxa"/>
              <w:bottom w:w="95" w:type="dxa"/>
              <w:end w:w="65" w:type="dxa"/>
            </w:tcMar>
          </w:tcPr>
          <w:p>
            <w:pPr>
              <w:jc w:val="center"/>
            </w:pPr>
            <w:r>
              <w:rPr>
                <w:rFonts w:ascii="Noto Sans" w:hAnsi="Noto Sans"/>
                <w:b/>
                <w:color w:val="FFFDF9"/>
                <w:sz w:val="16"/>
              </w:rPr>
              <w:t>SEARCH SCRIPTURE</w:t>
            </w:r>
          </w:p>
        </w:tc>
        <w:tc>
          <w:tcPr>
            <w:tcW w:type="dxa" w:w="1728"/>
            <w:shd w:fill="5E2C1B"/>
            <w:tcMar>
              <w:top w:w="95" w:type="dxa"/>
              <w:start w:w="65" w:type="dxa"/>
              <w:bottom w:w="95" w:type="dxa"/>
              <w:end w:w="65" w:type="dxa"/>
            </w:tcMar>
          </w:tcPr>
          <w:p>
            <w:pPr>
              <w:jc w:val="center"/>
            </w:pPr>
            <w:r>
              <w:rPr>
                <w:rFonts w:ascii="Noto Sans" w:hAnsi="Noto Sans"/>
                <w:b/>
                <w:color w:val="FFFDF9"/>
                <w:sz w:val="16"/>
              </w:rPr>
              <w:t>DISCUSS</w:t>
            </w:r>
          </w:p>
        </w:tc>
        <w:tc>
          <w:tcPr>
            <w:tcW w:type="dxa" w:w="1728"/>
            <w:shd w:fill="5E2C1B"/>
            <w:tcMar>
              <w:top w:w="95" w:type="dxa"/>
              <w:start w:w="65" w:type="dxa"/>
              <w:bottom w:w="95" w:type="dxa"/>
              <w:end w:w="65" w:type="dxa"/>
            </w:tcMar>
          </w:tcPr>
          <w:p>
            <w:pPr>
              <w:jc w:val="center"/>
            </w:pPr>
            <w:r>
              <w:rPr>
                <w:rFonts w:ascii="Noto Sans" w:hAnsi="Noto Sans"/>
                <w:b/>
                <w:color w:val="FFFDF9"/>
                <w:sz w:val="16"/>
              </w:rPr>
              <w:t>ACT</w:t>
            </w:r>
          </w:p>
        </w:tc>
      </w:tr>
    </w:tbl>
    <w:p>
      <w:pPr>
        <w:pStyle w:val="Heading2"/>
        <w:spacing w:after="60" w:line="257" w:lineRule="auto" w:before="100"/>
      </w:pPr>
      <w:r>
        <w:rPr>
          <w:rFonts w:ascii="Arial" w:hAnsi="Arial"/>
          <w:b/>
          <w:i w:val="0"/>
          <w:color w:val="000000"/>
          <w:sz w:val="22"/>
        </w:rPr>
        <w:t>Jesus, Scripture, curriculum, and leaders</w:t>
      </w:r>
    </w:p>
    <w:p>
      <w:pPr>
        <w:spacing w:after="60" w:line="252" w:lineRule="auto" w:before="0"/>
      </w:pPr>
      <w:r>
        <w:rPr>
          <w:rFonts w:ascii="Arial" w:hAnsi="Arial"/>
          <w:b w:val="0"/>
          <w:i w:val="0"/>
          <w:color w:val="000000"/>
          <w:sz w:val="19"/>
        </w:rPr>
        <w:t>Jesus is the center and model of DIA discipleship. Scripture is the authoritative source for DIA belief and teaching. A concise, theologically reviewed DIA curriculum intentionally teaches essential Christian foundations that should not be left to chance. Leaders are spiritually mature facilitators, examples, guides, and shepherds; they are not expected to be the source of every answer or the primary lecturer for all theology.</w:t>
      </w:r>
    </w:p>
    <w:p>
      <w:pPr>
        <w:spacing w:after="60" w:line="252" w:lineRule="auto" w:before="0"/>
      </w:pPr>
      <w:r>
        <w:rPr>
          <w:rFonts w:ascii="Arial" w:hAnsi="Arial"/>
          <w:b w:val="0"/>
          <w:i w:val="0"/>
          <w:color w:val="000000"/>
          <w:sz w:val="19"/>
        </w:rPr>
        <w:t>Leaders should be comfortable asking “What do you think?”, “Where could we look in Scripture?”, “What else does Scripture say?”, and “What should we do?” They may also say, “I do not know; let us find out.” Direct teaching and correction remain appropriate when an issue is foundational, dangerous, urgent, or clearly false.</w:t>
      </w:r>
    </w:p>
    <w:p>
      <w:pPr>
        <w:pStyle w:val="Heading2"/>
        <w:spacing w:after="60" w:line="257" w:lineRule="auto" w:before="100"/>
      </w:pPr>
      <w:r>
        <w:rPr>
          <w:rFonts w:ascii="Arial" w:hAnsi="Arial"/>
          <w:b/>
          <w:i w:val="0"/>
          <w:color w:val="000000"/>
          <w:sz w:val="22"/>
        </w:rPr>
        <w:t>Teaching along the way</w:t>
      </w:r>
    </w:p>
    <w:p>
      <w:pPr>
        <w:spacing w:after="60" w:line="252" w:lineRule="auto" w:before="0"/>
      </w:pPr>
      <w:r>
        <w:rPr>
          <w:rFonts w:ascii="Arial" w:hAnsi="Arial"/>
          <w:b w:val="0"/>
          <w:i w:val="0"/>
          <w:color w:val="000000"/>
          <w:sz w:val="19"/>
        </w:rPr>
        <w:t>DIA does not save all training for a final hour of the day. Leaders watch for meaningful opportunities throughout shared life and ministry. “Along the way” can literally include walking, buses, cars, meals, ministry sites, waiting, preparation, and the journey home. Leaders use judgment about safety, privacy, group position, and whether conversation is natural.</w:t>
      </w:r>
    </w:p>
    <w:p>
      <w:pPr>
        <w:spacing w:after="60" w:line="252" w:lineRule="auto" w:before="0"/>
      </w:pPr>
      <w:r>
        <w:rPr>
          <w:rFonts w:ascii="Arial" w:hAnsi="Arial"/>
          <w:b w:val="0"/>
          <w:i w:val="0"/>
          <w:color w:val="000000"/>
          <w:sz w:val="19"/>
        </w:rPr>
        <w:t>For a new or unusual ministry, leaders may give participants a few questions before departure and ask them to pray, think, or search Scripture while traveling. If public Christian discussion creates a security concern, participants can reflect privately and discuss later. Routine outings do not require manufactured assignments simply to create a lesson.</w:t>
      </w:r>
    </w:p>
    <w:p>
      <w:pPr>
        <w:pStyle w:val="Heading1"/>
        <w:spacing w:after="80" w:line="257" w:lineRule="auto" w:before="160"/>
      </w:pPr>
      <w:r>
        <w:rPr>
          <w:rFonts w:ascii="Arial" w:hAnsi="Arial"/>
          <w:b/>
          <w:color w:val="000000"/>
          <w:sz w:val="26"/>
        </w:rPr>
        <w:t>3. What Participants Are Learning</w:t>
      </w:r>
    </w:p>
    <w:p>
      <w:pPr>
        <w:pStyle w:val="Heading2"/>
        <w:spacing w:after="60" w:line="257" w:lineRule="auto" w:before="100"/>
      </w:pPr>
      <w:r>
        <w:rPr>
          <w:rFonts w:ascii="Arial" w:hAnsi="Arial"/>
          <w:b/>
          <w:i w:val="0"/>
          <w:color w:val="000000"/>
          <w:sz w:val="22"/>
        </w:rPr>
        <w:t>Core Discipleship Areas</w:t>
      </w:r>
    </w:p>
    <w:p>
      <w:pPr>
        <w:pStyle w:val="ListNumber"/>
        <w:spacing w:before="0" w:after="60" w:line="252" w:lineRule="auto"/>
      </w:pPr>
      <w:r>
        <w:rPr>
          <w:rFonts w:ascii="Arial" w:hAnsi="Arial"/>
          <w:color w:val="000000"/>
          <w:sz w:val="19"/>
        </w:rPr>
        <w:t>1. Following Jesus</w:t>
      </w:r>
    </w:p>
    <w:p>
      <w:pPr>
        <w:pStyle w:val="ListNumber"/>
        <w:spacing w:before="0" w:after="60" w:line="252" w:lineRule="auto"/>
      </w:pPr>
      <w:r>
        <w:rPr>
          <w:rFonts w:ascii="Arial" w:hAnsi="Arial"/>
          <w:color w:val="000000"/>
          <w:sz w:val="19"/>
        </w:rPr>
        <w:t>2. Knowing God</w:t>
      </w:r>
    </w:p>
    <w:p>
      <w:pPr>
        <w:pStyle w:val="ListNumber"/>
        <w:spacing w:before="0" w:after="60" w:line="252" w:lineRule="auto"/>
      </w:pPr>
      <w:r>
        <w:rPr>
          <w:rFonts w:ascii="Arial" w:hAnsi="Arial"/>
          <w:color w:val="000000"/>
          <w:sz w:val="19"/>
        </w:rPr>
        <w:t>3. Scripture</w:t>
      </w:r>
    </w:p>
    <w:p>
      <w:pPr>
        <w:pStyle w:val="ListNumber"/>
        <w:spacing w:before="0" w:after="60" w:line="252" w:lineRule="auto"/>
      </w:pPr>
      <w:r>
        <w:rPr>
          <w:rFonts w:ascii="Arial" w:hAnsi="Arial"/>
          <w:color w:val="000000"/>
          <w:sz w:val="19"/>
        </w:rPr>
        <w:t>4. Prayer &amp; Worship</w:t>
      </w:r>
    </w:p>
    <w:p>
      <w:pPr>
        <w:pStyle w:val="ListNumber"/>
        <w:spacing w:before="0" w:after="60" w:line="252" w:lineRule="auto"/>
      </w:pPr>
      <w:r>
        <w:rPr>
          <w:rFonts w:ascii="Arial" w:hAnsi="Arial"/>
          <w:color w:val="000000"/>
          <w:sz w:val="19"/>
        </w:rPr>
        <w:t>5. Character &amp; Identity</w:t>
      </w:r>
    </w:p>
    <w:p>
      <w:pPr>
        <w:pStyle w:val="ListNumber"/>
        <w:spacing w:before="0" w:after="60" w:line="252" w:lineRule="auto"/>
      </w:pPr>
      <w:r>
        <w:rPr>
          <w:rFonts w:ascii="Arial" w:hAnsi="Arial"/>
          <w:color w:val="000000"/>
          <w:sz w:val="19"/>
        </w:rPr>
        <w:t>6. Life Together</w:t>
      </w:r>
    </w:p>
    <w:p>
      <w:pPr>
        <w:pStyle w:val="ListNumber"/>
        <w:spacing w:before="0" w:after="60" w:line="252" w:lineRule="auto"/>
      </w:pPr>
      <w:r>
        <w:rPr>
          <w:rFonts w:ascii="Arial" w:hAnsi="Arial"/>
          <w:color w:val="000000"/>
          <w:sz w:val="19"/>
        </w:rPr>
        <w:t>7. Serving Others</w:t>
      </w:r>
    </w:p>
    <w:p>
      <w:pPr>
        <w:pStyle w:val="ListNumber"/>
        <w:spacing w:before="0" w:after="60" w:line="252" w:lineRule="auto"/>
      </w:pPr>
      <w:r>
        <w:rPr>
          <w:rFonts w:ascii="Arial" w:hAnsi="Arial"/>
          <w:color w:val="000000"/>
          <w:sz w:val="19"/>
        </w:rPr>
        <w:t>8. Sharing Jesus</w:t>
      </w:r>
    </w:p>
    <w:p>
      <w:pPr>
        <w:pStyle w:val="ListNumber"/>
        <w:spacing w:before="0" w:after="60" w:line="252" w:lineRule="auto"/>
      </w:pPr>
      <w:r>
        <w:rPr>
          <w:rFonts w:ascii="Arial" w:hAnsi="Arial"/>
          <w:color w:val="000000"/>
          <w:sz w:val="19"/>
        </w:rPr>
        <w:t>9. Making Disciples</w:t>
      </w:r>
    </w:p>
    <w:p>
      <w:pPr>
        <w:pStyle w:val="ListNumber"/>
        <w:spacing w:before="0" w:after="60" w:line="252" w:lineRule="auto"/>
      </w:pPr>
      <w:r>
        <w:rPr>
          <w:rFonts w:ascii="Arial" w:hAnsi="Arial"/>
          <w:color w:val="000000"/>
          <w:sz w:val="19"/>
        </w:rPr>
        <w:t>10. The Body &amp; Our Gifts</w:t>
      </w:r>
    </w:p>
    <w:p>
      <w:pPr>
        <w:pStyle w:val="ListNumber"/>
        <w:spacing w:before="0" w:after="60" w:line="252" w:lineRule="auto"/>
      </w:pPr>
      <w:r>
        <w:rPr>
          <w:rFonts w:ascii="Arial" w:hAnsi="Arial"/>
          <w:color w:val="000000"/>
          <w:sz w:val="19"/>
        </w:rPr>
        <w:t>11. Church &amp; Christian Community</w:t>
      </w:r>
    </w:p>
    <w:p>
      <w:pPr>
        <w:pStyle w:val="ListNumber"/>
        <w:spacing w:before="0" w:after="60" w:line="252" w:lineRule="auto"/>
      </w:pPr>
      <w:r>
        <w:rPr>
          <w:rFonts w:ascii="Arial" w:hAnsi="Arial"/>
          <w:color w:val="000000"/>
          <w:sz w:val="19"/>
        </w:rPr>
        <w:t>12. Multiplication</w:t>
      </w:r>
    </w:p>
    <w:p>
      <w:pPr>
        <w:pStyle w:val="Heading2"/>
        <w:spacing w:after="60" w:line="257" w:lineRule="auto" w:before="100"/>
      </w:pPr>
      <w:r>
        <w:rPr>
          <w:rFonts w:ascii="Arial" w:hAnsi="Arial"/>
          <w:b/>
          <w:i w:val="0"/>
          <w:color w:val="000000"/>
          <w:sz w:val="22"/>
        </w:rPr>
        <w:t>Search the Whole Counsel</w:t>
      </w:r>
    </w:p>
    <w:p>
      <w:pPr>
        <w:spacing w:after="60" w:line="252" w:lineRule="auto" w:before="0"/>
      </w:pPr>
      <w:r>
        <w:rPr>
          <w:rFonts w:ascii="Arial" w:hAnsi="Arial"/>
          <w:b w:val="0"/>
          <w:i w:val="0"/>
          <w:color w:val="000000"/>
          <w:sz w:val="19"/>
        </w:rPr>
        <w:t>Participants should learn not to build decisions on one isolated verse. Leaders should regularly ask, “What else does Scripture say?” For complex questions, the group may intentionally find biblical passages and principles that appear to support different possible responses, then discuss context, motives, consequences, and wise application. The purpose is not to make Scripture contradict itself but to develop mature biblical judgment.</w:t>
      </w:r>
    </w:p>
    <w:p>
      <w:pPr>
        <w:pStyle w:val="Heading2"/>
        <w:spacing w:after="60" w:line="257" w:lineRule="auto" w:before="100"/>
      </w:pPr>
      <w:r>
        <w:rPr>
          <w:rFonts w:ascii="Arial" w:hAnsi="Arial"/>
          <w:b/>
          <w:i w:val="0"/>
          <w:color w:val="000000"/>
          <w:sz w:val="22"/>
        </w:rPr>
        <w:t>Essential Theological Foundations</w:t>
      </w:r>
    </w:p>
    <w:p>
      <w:pPr>
        <w:spacing w:after="60" w:line="252" w:lineRule="auto" w:before="0"/>
      </w:pPr>
      <w:r>
        <w:rPr>
          <w:rFonts w:ascii="Arial" w:hAnsi="Arial"/>
          <w:b w:val="0"/>
          <w:i w:val="0"/>
          <w:color w:val="000000"/>
          <w:sz w:val="19"/>
        </w:rPr>
        <w:t>Some theology must be taught intentionally because it may not arise naturally or because accuracy is especially important. DIA should maintain a concise, theologically reviewed foundation curriculum covering the central truths necessary for Christian discipleship. Short Urdu video teaching, guided Scripture study, and occasional structured sessions can provide consistency across houses. The curriculum provides theological foundations; ministry and shared life continually turn those truths into understanding and action.</w:t>
      </w:r>
    </w:p>
    <w:p>
      <w:pPr>
        <w:pStyle w:val="Heading2"/>
        <w:spacing w:after="60" w:line="257" w:lineRule="auto" w:before="100"/>
      </w:pPr>
      <w:r>
        <w:rPr>
          <w:rFonts w:ascii="Arial" w:hAnsi="Arial"/>
          <w:b/>
          <w:i w:val="0"/>
          <w:color w:val="000000"/>
          <w:sz w:val="22"/>
        </w:rPr>
        <w:t>Different People, Different Gifts</w:t>
      </w:r>
    </w:p>
    <w:p>
      <w:pPr>
        <w:spacing w:after="60" w:line="252" w:lineRule="auto" w:before="0"/>
      </w:pPr>
      <w:r>
        <w:rPr>
          <w:rFonts w:ascii="Arial" w:hAnsi="Arial"/>
          <w:color w:val="000000"/>
          <w:sz w:val="19"/>
        </w:rPr>
        <w:t>Helping others follow Jesus remains an important fruit of discipleship, but it is not forced onto the end of every individual lesson or discussion.</w:t>
      </w:r>
    </w:p>
    <w:p>
      <w:pPr>
        <w:pStyle w:val="Heading2"/>
        <w:spacing w:after="60" w:line="257" w:lineRule="auto" w:before="100"/>
      </w:pPr>
      <w:r>
        <w:rPr>
          <w:rFonts w:ascii="Arial" w:hAnsi="Arial"/>
          <w:b/>
          <w:i w:val="0"/>
          <w:color w:val="000000"/>
          <w:sz w:val="22"/>
        </w:rPr>
        <w:t>How Responsibility Grows</w:t>
      </w:r>
    </w:p>
    <w:p>
      <w:pPr>
        <w:spacing w:after="60" w:line="252" w:lineRule="auto" w:before="0"/>
      </w:pPr>
      <w:r>
        <w:rPr>
          <w:rFonts w:ascii="Arial" w:hAnsi="Arial"/>
          <w:b w:val="0"/>
          <w:i w:val="0"/>
          <w:color w:val="000000"/>
          <w:sz w:val="19"/>
        </w:rPr>
        <w:t>Watch: Observe experienced believers and ask questions.</w:t>
      </w:r>
    </w:p>
    <w:p>
      <w:pPr>
        <w:spacing w:after="60" w:line="252" w:lineRule="auto" w:before="0"/>
      </w:pPr>
      <w:r>
        <w:rPr>
          <w:rFonts w:ascii="Arial" w:hAnsi="Arial"/>
          <w:b w:val="0"/>
          <w:i w:val="0"/>
          <w:color w:val="000000"/>
          <w:sz w:val="19"/>
        </w:rPr>
        <w:t>Help: Assist with practical ministry, children, prayer, preparation, supplies, or another person’s ministry.</w:t>
      </w:r>
    </w:p>
    <w:p>
      <w:pPr>
        <w:spacing w:after="60" w:line="252" w:lineRule="auto" w:before="0"/>
      </w:pPr>
      <w:r>
        <w:rPr>
          <w:rFonts w:ascii="Arial" w:hAnsi="Arial"/>
          <w:b w:val="0"/>
          <w:i w:val="0"/>
          <w:color w:val="000000"/>
          <w:sz w:val="19"/>
        </w:rPr>
        <w:t>Participate: Share testimony, pray with someone, contribute to discussion, teach when appropriately gifted, or take an active ministry role.</w:t>
      </w:r>
    </w:p>
    <w:p>
      <w:pPr>
        <w:spacing w:after="60" w:line="252" w:lineRule="auto" w:before="0"/>
      </w:pPr>
      <w:r>
        <w:rPr>
          <w:rFonts w:ascii="Arial" w:hAnsi="Arial"/>
          <w:b w:val="0"/>
          <w:i w:val="0"/>
          <w:color w:val="000000"/>
          <w:sz w:val="19"/>
        </w:rPr>
        <w:t>Take responsibility: Carry a meaningful portion of ministry according to maturity and gifting.</w:t>
      </w:r>
    </w:p>
    <w:p>
      <w:pPr>
        <w:spacing w:after="60" w:line="252" w:lineRule="auto" w:before="0"/>
      </w:pPr>
      <w:r>
        <w:rPr>
          <w:rFonts w:ascii="Arial" w:hAnsi="Arial"/>
          <w:b w:val="0"/>
          <w:i w:val="0"/>
          <w:color w:val="000000"/>
          <w:sz w:val="19"/>
        </w:rPr>
        <w:t>Help others: As appropriate, bring less experienced participants alongside in ordinary ministry and shared life.</w:t>
      </w:r>
    </w:p>
    <w:p>
      <w:pPr>
        <w:pStyle w:val="Heading2"/>
        <w:spacing w:after="60" w:line="257" w:lineRule="auto" w:before="100"/>
      </w:pPr>
      <w:r>
        <w:rPr>
          <w:rFonts w:ascii="Arial" w:hAnsi="Arial"/>
          <w:b/>
          <w:i w:val="0"/>
          <w:color w:val="000000"/>
          <w:sz w:val="22"/>
        </w:rPr>
        <w:t>Debriefing Ministry</w:t>
      </w:r>
    </w:p>
    <w:p>
      <w:pPr>
        <w:spacing w:after="60" w:line="252" w:lineRule="auto" w:before="0"/>
      </w:pPr>
      <w:r>
        <w:rPr>
          <w:rFonts w:ascii="Arial" w:hAnsi="Arial"/>
          <w:b w:val="0"/>
          <w:i w:val="0"/>
          <w:color w:val="000000"/>
          <w:sz w:val="19"/>
        </w:rPr>
        <w:t>What happened?</w:t>
      </w:r>
    </w:p>
    <w:p>
      <w:pPr>
        <w:spacing w:after="60" w:line="252" w:lineRule="auto" w:before="0"/>
      </w:pPr>
      <w:r>
        <w:rPr>
          <w:rFonts w:ascii="Arial" w:hAnsi="Arial"/>
          <w:b w:val="0"/>
          <w:i w:val="0"/>
          <w:color w:val="000000"/>
          <w:sz w:val="19"/>
        </w:rPr>
        <w:t>Who did we meet and what did we learn?</w:t>
      </w:r>
    </w:p>
    <w:p>
      <w:pPr>
        <w:spacing w:after="60" w:line="252" w:lineRule="auto" w:before="0"/>
      </w:pPr>
      <w:r>
        <w:rPr>
          <w:rFonts w:ascii="Arial" w:hAnsi="Arial"/>
          <w:b w:val="0"/>
          <w:i w:val="0"/>
          <w:color w:val="000000"/>
          <w:sz w:val="19"/>
        </w:rPr>
        <w:t>What surprised or confused us?</w:t>
      </w:r>
    </w:p>
    <w:p>
      <w:pPr>
        <w:spacing w:after="60" w:line="252" w:lineRule="auto" w:before="0"/>
      </w:pPr>
      <w:r>
        <w:rPr>
          <w:rFonts w:ascii="Arial" w:hAnsi="Arial"/>
          <w:b w:val="0"/>
          <w:i w:val="0"/>
          <w:color w:val="000000"/>
          <w:sz w:val="19"/>
        </w:rPr>
        <w:t>Did we treat people with dignity and love?</w:t>
      </w:r>
    </w:p>
    <w:p>
      <w:pPr>
        <w:spacing w:after="60" w:line="252" w:lineRule="auto" w:before="0"/>
      </w:pPr>
      <w:r>
        <w:rPr>
          <w:rFonts w:ascii="Arial" w:hAnsi="Arial"/>
          <w:b w:val="0"/>
          <w:i w:val="0"/>
          <w:color w:val="000000"/>
          <w:sz w:val="19"/>
        </w:rPr>
        <w:t>What did we do well? What should change?</w:t>
      </w:r>
    </w:p>
    <w:p>
      <w:pPr>
        <w:spacing w:after="60" w:line="252" w:lineRule="auto" w:before="0"/>
      </w:pPr>
      <w:r>
        <w:rPr>
          <w:rFonts w:ascii="Arial" w:hAnsi="Arial"/>
          <w:b w:val="0"/>
          <w:i w:val="0"/>
          <w:color w:val="000000"/>
          <w:sz w:val="19"/>
        </w:rPr>
        <w:t>What does Scripture say that relates to what happened?</w:t>
      </w:r>
    </w:p>
    <w:p>
      <w:pPr>
        <w:spacing w:after="60" w:line="252" w:lineRule="auto" w:before="0"/>
      </w:pPr>
      <w:r>
        <w:rPr>
          <w:rFonts w:ascii="Arial" w:hAnsi="Arial"/>
          <w:b w:val="0"/>
          <w:i w:val="0"/>
          <w:color w:val="000000"/>
          <w:sz w:val="19"/>
        </w:rPr>
        <w:t>What else does Scripture say?</w:t>
      </w:r>
    </w:p>
    <w:p>
      <w:pPr>
        <w:spacing w:after="60" w:line="252" w:lineRule="auto" w:before="0"/>
      </w:pPr>
      <w:r>
        <w:rPr>
          <w:rFonts w:ascii="Arial" w:hAnsi="Arial"/>
          <w:b w:val="0"/>
          <w:i w:val="0"/>
          <w:color w:val="000000"/>
          <w:sz w:val="19"/>
        </w:rPr>
        <w:t>What is happening in our own hearts?</w:t>
      </w:r>
    </w:p>
    <w:p>
      <w:pPr>
        <w:spacing w:after="60" w:line="252" w:lineRule="auto" w:before="0"/>
      </w:pPr>
      <w:r>
        <w:rPr>
          <w:rFonts w:ascii="Arial" w:hAnsi="Arial"/>
          <w:b w:val="0"/>
          <w:i w:val="0"/>
          <w:color w:val="000000"/>
          <w:sz w:val="19"/>
        </w:rPr>
        <w:t>Who should we pray for?</w:t>
      </w:r>
    </w:p>
    <w:p>
      <w:pPr>
        <w:spacing w:after="60" w:line="252" w:lineRule="auto" w:before="0"/>
      </w:pPr>
      <w:r>
        <w:rPr>
          <w:rFonts w:ascii="Arial" w:hAnsi="Arial"/>
          <w:b w:val="0"/>
          <w:i w:val="0"/>
          <w:color w:val="000000"/>
          <w:sz w:val="19"/>
        </w:rPr>
        <w:t>What should we do next?</w:t>
      </w:r>
    </w:p>
    <w:p>
      <w:pPr>
        <w:spacing w:after="60" w:line="252" w:lineRule="auto" w:before="0"/>
      </w:pPr>
      <w:r>
        <w:rPr>
          <w:rFonts w:ascii="Arial" w:hAnsi="Arial"/>
          <w:b w:val="0"/>
          <w:i w:val="0"/>
          <w:color w:val="000000"/>
          <w:sz w:val="19"/>
        </w:rPr>
        <w:t>Debriefing can happen immediately, during the return journey when safe and practical, later at the house, or over several conversations. It does not need to become a mandatory formal meeting after every outing.</w:t>
      </w:r>
    </w:p>
    <w:p>
      <w:pPr>
        <w:pStyle w:val="Heading2"/>
        <w:spacing w:after="60" w:line="257" w:lineRule="auto" w:before="100"/>
      </w:pPr>
      <w:r>
        <w:rPr>
          <w:rFonts w:ascii="Arial" w:hAnsi="Arial"/>
          <w:b/>
          <w:i w:val="0"/>
          <w:color w:val="000000"/>
          <w:sz w:val="22"/>
        </w:rPr>
        <w:t>How to Recognize Growth</w:t>
      </w:r>
    </w:p>
    <w:p>
      <w:pPr>
        <w:spacing w:after="60" w:line="252" w:lineRule="auto" w:before="0"/>
      </w:pPr>
      <w:r>
        <w:rPr>
          <w:rFonts w:ascii="Arial" w:hAnsi="Arial"/>
          <w:b w:val="0"/>
          <w:i w:val="0"/>
          <w:color w:val="000000"/>
          <w:sz w:val="19"/>
        </w:rPr>
        <w:t>Knows and trusts Jesus more deeply.</w:t>
      </w:r>
    </w:p>
    <w:p>
      <w:pPr>
        <w:spacing w:after="60" w:line="252" w:lineRule="auto" w:before="0"/>
      </w:pPr>
      <w:r>
        <w:rPr>
          <w:rFonts w:ascii="Arial" w:hAnsi="Arial"/>
          <w:b w:val="0"/>
          <w:i w:val="0"/>
          <w:color w:val="000000"/>
          <w:sz w:val="19"/>
        </w:rPr>
        <w:t>Reads, understands, applies, and obeys Scripture.</w:t>
      </w:r>
    </w:p>
    <w:p>
      <w:pPr>
        <w:spacing w:after="60" w:line="252" w:lineRule="auto" w:before="0"/>
      </w:pPr>
      <w:r>
        <w:rPr>
          <w:rFonts w:ascii="Arial" w:hAnsi="Arial"/>
          <w:b w:val="0"/>
          <w:i w:val="0"/>
          <w:color w:val="000000"/>
          <w:sz w:val="19"/>
        </w:rPr>
        <w:t>Asks increasingly thoughtful questions and knows how to seek biblical answers.</w:t>
      </w:r>
    </w:p>
    <w:p>
      <w:pPr>
        <w:spacing w:after="60" w:line="252" w:lineRule="auto" w:before="0"/>
      </w:pPr>
      <w:r>
        <w:rPr>
          <w:rFonts w:ascii="Arial" w:hAnsi="Arial"/>
          <w:b w:val="0"/>
          <w:i w:val="0"/>
          <w:color w:val="000000"/>
          <w:sz w:val="19"/>
        </w:rPr>
        <w:t>Prays personally and with others.</w:t>
      </w:r>
    </w:p>
    <w:p>
      <w:pPr>
        <w:spacing w:after="60" w:line="252" w:lineRule="auto" w:before="0"/>
      </w:pPr>
      <w:r>
        <w:rPr>
          <w:rFonts w:ascii="Arial" w:hAnsi="Arial"/>
          <w:b w:val="0"/>
          <w:i w:val="0"/>
          <w:color w:val="000000"/>
          <w:sz w:val="19"/>
        </w:rPr>
        <w:t>Shows growing humility, honesty, faithfulness, repentance, love, and self-control.</w:t>
      </w:r>
    </w:p>
    <w:p>
      <w:pPr>
        <w:spacing w:after="60" w:line="252" w:lineRule="auto" w:before="0"/>
      </w:pPr>
      <w:r>
        <w:rPr>
          <w:rFonts w:ascii="Arial" w:hAnsi="Arial"/>
          <w:b w:val="0"/>
          <w:i w:val="0"/>
          <w:color w:val="000000"/>
          <w:sz w:val="19"/>
        </w:rPr>
        <w:t>Participates reliably in Christian community and service.</w:t>
      </w:r>
    </w:p>
    <w:p>
      <w:pPr>
        <w:spacing w:after="60" w:line="252" w:lineRule="auto" w:before="0"/>
      </w:pPr>
      <w:r>
        <w:rPr>
          <w:rFonts w:ascii="Arial" w:hAnsi="Arial"/>
          <w:b w:val="0"/>
          <w:i w:val="0"/>
          <w:color w:val="000000"/>
          <w:sz w:val="19"/>
        </w:rPr>
        <w:t>Treats poor and vulnerable people with dignity rather than superiority.</w:t>
      </w:r>
    </w:p>
    <w:p>
      <w:pPr>
        <w:spacing w:after="60" w:line="252" w:lineRule="auto" w:before="0"/>
      </w:pPr>
      <w:r>
        <w:rPr>
          <w:rFonts w:ascii="Arial" w:hAnsi="Arial"/>
          <w:b w:val="0"/>
          <w:i w:val="0"/>
          <w:color w:val="000000"/>
          <w:sz w:val="19"/>
        </w:rPr>
        <w:t>Uses his gifts increasingly and responsibly.</w:t>
      </w:r>
    </w:p>
    <w:p>
      <w:pPr>
        <w:spacing w:after="60" w:line="252" w:lineRule="auto" w:before="0"/>
      </w:pPr>
      <w:r>
        <w:rPr>
          <w:rFonts w:ascii="Arial" w:hAnsi="Arial"/>
          <w:b w:val="0"/>
          <w:i w:val="0"/>
          <w:color w:val="000000"/>
          <w:sz w:val="19"/>
        </w:rPr>
        <w:t>Can share faith and testimony naturally.</w:t>
      </w:r>
    </w:p>
    <w:p>
      <w:pPr>
        <w:spacing w:after="60" w:line="252" w:lineRule="auto" w:before="0"/>
      </w:pPr>
      <w:r>
        <w:rPr>
          <w:rFonts w:ascii="Arial" w:hAnsi="Arial"/>
          <w:b w:val="0"/>
          <w:i w:val="0"/>
          <w:color w:val="000000"/>
          <w:sz w:val="19"/>
        </w:rPr>
        <w:t>Turns biblical knowledge into action and wise decisions.</w:t>
      </w:r>
    </w:p>
    <w:p>
      <w:pPr>
        <w:spacing w:after="60" w:line="252" w:lineRule="auto" w:before="0"/>
      </w:pPr>
      <w:r>
        <w:rPr>
          <w:rFonts w:ascii="Arial" w:hAnsi="Arial"/>
          <w:b w:val="0"/>
          <w:i w:val="0"/>
          <w:color w:val="000000"/>
          <w:sz w:val="19"/>
        </w:rPr>
        <w:t>Contributes to healthy Christian community.</w:t>
      </w:r>
    </w:p>
    <w:p>
      <w:pPr>
        <w:spacing w:after="60" w:line="252" w:lineRule="auto" w:before="0"/>
      </w:pPr>
      <w:r>
        <w:rPr>
          <w:rFonts w:ascii="Arial" w:hAnsi="Arial"/>
          <w:b w:val="0"/>
          <w:i w:val="0"/>
          <w:color w:val="000000"/>
          <w:sz w:val="19"/>
        </w:rPr>
        <w:t>Continues growing without needing constant supervision.</w:t>
      </w:r>
    </w:p>
    <w:p>
      <w:pPr>
        <w:pStyle w:val="Heading2"/>
        <w:spacing w:after="60" w:line="257" w:lineRule="auto" w:before="100"/>
      </w:pPr>
      <w:r>
        <w:rPr>
          <w:rFonts w:ascii="Arial" w:hAnsi="Arial"/>
          <w:b/>
          <w:i w:val="0"/>
          <w:color w:val="000000"/>
          <w:sz w:val="22"/>
        </w:rPr>
        <w:t>Truth &amp; Trust in Discipleship</w:t>
      </w:r>
    </w:p>
    <w:p>
      <w:pPr>
        <w:spacing w:after="60" w:line="252" w:lineRule="auto" w:before="0"/>
      </w:pPr>
      <w:r>
        <w:rPr>
          <w:rFonts w:ascii="Arial" w:hAnsi="Arial"/>
          <w:b w:val="0"/>
          <w:i w:val="0"/>
          <w:color w:val="000000"/>
          <w:sz w:val="19"/>
        </w:rPr>
        <w:t>Truthfulness is part of Christian character formation. Participants should learn to confess mistakes, correct false statements, reject manipulation, and tell the truth even when personally costly. Intentional financial deception of any amount is a severe breach of trust and normally results in expulsion unless explicitly overridden by appropriate DIA leadership or Aaron/IFF.</w:t>
      </w:r>
    </w:p>
    <w:p>
      <w:pPr>
        <w:pStyle w:val="Heading2"/>
        <w:spacing w:after="60" w:line="257" w:lineRule="auto" w:before="100"/>
      </w:pPr>
      <w:r>
        <w:rPr>
          <w:rFonts w:ascii="Arial" w:hAnsi="Arial"/>
          <w:b/>
          <w:i w:val="0"/>
          <w:color w:val="000000"/>
          <w:sz w:val="22"/>
        </w:rPr>
        <w:t>Outside Pastors, Churches &amp; Christian Leaders</w:t>
      </w:r>
    </w:p>
    <w:p>
      <w:pPr>
        <w:spacing w:after="60" w:line="252" w:lineRule="auto" w:before="0"/>
      </w:pPr>
      <w:r>
        <w:rPr>
          <w:rFonts w:ascii="Arial" w:hAnsi="Arial"/>
          <w:b w:val="0"/>
          <w:i w:val="0"/>
          <w:color w:val="000000"/>
          <w:sz w:val="19"/>
        </w:rPr>
        <w:t>The normal DIA discipleship process is carried by DIA’s framework, curriculum, leaders, shared ministry, Scripture, prayer, questions, reflection, and practice. Outside pastors and church leaders have no formal role in DIA training, governance, curriculum, mentoring, supervision, or authority merely because of title. If Ministry House leaders genuinely trust a pastor or other Christian leader, they may invite that person into a specific DIA activity. Such an invitation is limited to that activity and creates no ongoing position, authority, recurring access, or formal DIA teaching role.</w:t>
      </w:r>
    </w:p>
    <w:p>
      <w:pPr>
        <w:pStyle w:val="Heading1"/>
        <w:spacing w:after="80" w:line="257" w:lineRule="auto" w:before="160"/>
      </w:pPr>
      <w:r>
        <w:rPr>
          <w:rFonts w:ascii="Arial" w:hAnsi="Arial"/>
          <w:b/>
          <w:color w:val="000000"/>
          <w:sz w:val="26"/>
        </w:rPr>
        <w:t>4. Ministry as the Training Environment</w:t>
      </w:r>
    </w:p>
    <w:p>
      <w:pPr>
        <w:spacing w:after="60" w:line="252" w:lineRule="auto" w:before="0"/>
      </w:pPr>
      <w:r>
        <w:rPr>
          <w:rFonts w:ascii="Arial" w:hAnsi="Arial"/>
          <w:color w:val="000000"/>
          <w:sz w:val="19"/>
        </w:rPr>
        <w:t>Ministry is one of the places where discipleship becomes visible. Participants do not need a detailed explanation of every ministry area here; they should expect to serve, observe, ask questions, pray, learn, and grow while taking part in real ministry.</w:t>
      </w:r>
    </w:p>
    <w:p>
      <w:pPr>
        <w:pStyle w:val="ListBullet"/>
        <w:spacing w:before="0" w:after="60" w:line="252" w:lineRule="auto"/>
      </w:pPr>
      <w:r>
        <w:rPr>
          <w:rFonts w:ascii="Arial" w:hAnsi="Arial"/>
          <w:color w:val="000000"/>
          <w:sz w:val="19"/>
        </w:rPr>
        <w:t>Children and Sunday School</w:t>
      </w:r>
    </w:p>
    <w:p>
      <w:pPr>
        <w:pStyle w:val="ListBullet"/>
        <w:spacing w:before="0" w:after="60" w:line="252" w:lineRule="auto"/>
      </w:pPr>
      <w:r>
        <w:rPr>
          <w:rFonts w:ascii="Arial" w:hAnsi="Arial"/>
          <w:color w:val="000000"/>
          <w:sz w:val="19"/>
        </w:rPr>
        <w:t>Christian gatherings</w:t>
      </w:r>
    </w:p>
    <w:p>
      <w:pPr>
        <w:pStyle w:val="ListBullet"/>
        <w:spacing w:before="0" w:after="60" w:line="252" w:lineRule="auto"/>
      </w:pPr>
      <w:r>
        <w:rPr>
          <w:rFonts w:ascii="Arial" w:hAnsi="Arial"/>
          <w:color w:val="000000"/>
          <w:sz w:val="19"/>
        </w:rPr>
        <w:t>Home church</w:t>
      </w:r>
    </w:p>
    <w:p>
      <w:pPr>
        <w:pStyle w:val="ListBullet"/>
        <w:spacing w:before="0" w:after="60" w:line="252" w:lineRule="auto"/>
      </w:pPr>
      <w:r>
        <w:rPr>
          <w:rFonts w:ascii="Arial" w:hAnsi="Arial"/>
          <w:color w:val="000000"/>
          <w:sz w:val="19"/>
        </w:rPr>
        <w:t>Prayer ministry</w:t>
      </w:r>
    </w:p>
    <w:p>
      <w:pPr>
        <w:pStyle w:val="ListBullet"/>
        <w:spacing w:before="0" w:after="60" w:line="252" w:lineRule="auto"/>
      </w:pPr>
      <w:r>
        <w:rPr>
          <w:rFonts w:ascii="Arial" w:hAnsi="Arial"/>
          <w:color w:val="000000"/>
          <w:sz w:val="19"/>
        </w:rPr>
        <w:t>Evangelism</w:t>
      </w:r>
    </w:p>
    <w:p>
      <w:pPr>
        <w:pStyle w:val="ListBullet"/>
        <w:spacing w:before="0" w:after="60" w:line="252" w:lineRule="auto"/>
      </w:pPr>
      <w:r>
        <w:rPr>
          <w:rFonts w:ascii="Arial" w:hAnsi="Arial"/>
          <w:color w:val="000000"/>
          <w:sz w:val="19"/>
        </w:rPr>
        <w:t>Bible and solar audio Bible distribution</w:t>
      </w:r>
    </w:p>
    <w:p>
      <w:pPr>
        <w:pStyle w:val="ListBullet"/>
        <w:spacing w:before="0" w:after="60" w:line="252" w:lineRule="auto"/>
      </w:pPr>
      <w:r>
        <w:rPr>
          <w:rFonts w:ascii="Arial" w:hAnsi="Arial"/>
          <w:color w:val="000000"/>
          <w:sz w:val="19"/>
        </w:rPr>
        <w:t>Compassion, food, and practical service</w:t>
      </w:r>
    </w:p>
    <w:p>
      <w:pPr>
        <w:pStyle w:val="ListBullet"/>
        <w:spacing w:before="0" w:after="60" w:line="252" w:lineRule="auto"/>
      </w:pPr>
      <w:r>
        <w:rPr>
          <w:rFonts w:ascii="Arial" w:hAnsi="Arial"/>
          <w:color w:val="000000"/>
          <w:sz w:val="19"/>
        </w:rPr>
        <w:t>Freedom and family transition ministry</w:t>
      </w:r>
    </w:p>
    <w:p>
      <w:pPr>
        <w:pStyle w:val="ListBullet"/>
        <w:spacing w:before="0" w:after="60" w:line="252" w:lineRule="auto"/>
      </w:pPr>
      <w:r>
        <w:rPr>
          <w:rFonts w:ascii="Arial" w:hAnsi="Arial"/>
          <w:color w:val="000000"/>
          <w:sz w:val="19"/>
        </w:rPr>
        <w:t>Education and vocational ministry</w:t>
      </w:r>
    </w:p>
    <w:tbl>
      <w:tblPr>
        <w:tblW w:type="auto" w:w="0"/>
        <w:jc w:val="center"/>
        <w:tblLook w:firstColumn="1" w:firstRow="1" w:lastColumn="0" w:lastRow="0" w:noHBand="0" w:noVBand="1" w:val="04A0"/>
      </w:tblPr>
      <w:tblGrid>
        <w:gridCol w:w="2074"/>
        <w:gridCol w:w="2074"/>
        <w:gridCol w:w="2074"/>
        <w:gridCol w:w="2074"/>
        <w:gridCol w:w="2074"/>
      </w:tblGrid>
      <w:tr>
        <w:tc>
          <w:tcPr>
            <w:tcW w:type="dxa" w:w="2074"/>
            <w:shd w:fill="F8F3EB"/>
            <w:tcMar>
              <w:top w:w="95" w:type="dxa"/>
              <w:start w:w="65" w:type="dxa"/>
              <w:bottom w:w="95" w:type="dxa"/>
              <w:end w:w="65" w:type="dxa"/>
            </w:tcMar>
          </w:tcPr>
          <w:p>
            <w:pPr>
              <w:jc w:val="center"/>
            </w:pPr>
            <w:r>
              <w:rPr>
                <w:rFonts w:ascii="Noto Sans" w:hAnsi="Noto Sans"/>
                <w:b/>
                <w:color w:val="5E2C1B"/>
                <w:sz w:val="16"/>
              </w:rPr>
              <w:t>WATCH</w:t>
            </w:r>
          </w:p>
        </w:tc>
        <w:tc>
          <w:tcPr>
            <w:tcW w:type="dxa" w:w="2074"/>
            <w:shd w:fill="F0DED3"/>
            <w:tcMar>
              <w:top w:w="95" w:type="dxa"/>
              <w:start w:w="65" w:type="dxa"/>
              <w:bottom w:w="95" w:type="dxa"/>
              <w:end w:w="65" w:type="dxa"/>
            </w:tcMar>
          </w:tcPr>
          <w:p>
            <w:pPr>
              <w:jc w:val="center"/>
            </w:pPr>
            <w:r>
              <w:rPr>
                <w:rFonts w:ascii="Noto Sans" w:hAnsi="Noto Sans"/>
                <w:b/>
                <w:color w:val="5E2C1B"/>
                <w:sz w:val="16"/>
              </w:rPr>
              <w:t>HELP</w:t>
            </w:r>
          </w:p>
        </w:tc>
        <w:tc>
          <w:tcPr>
            <w:tcW w:type="dxa" w:w="2074"/>
            <w:shd w:fill="F8F3EB"/>
            <w:tcMar>
              <w:top w:w="95" w:type="dxa"/>
              <w:start w:w="65" w:type="dxa"/>
              <w:bottom w:w="95" w:type="dxa"/>
              <w:end w:w="65" w:type="dxa"/>
            </w:tcMar>
          </w:tcPr>
          <w:p>
            <w:pPr>
              <w:jc w:val="center"/>
            </w:pPr>
            <w:r>
              <w:rPr>
                <w:rFonts w:ascii="Noto Sans" w:hAnsi="Noto Sans"/>
                <w:b/>
                <w:color w:val="5E2C1B"/>
                <w:sz w:val="16"/>
              </w:rPr>
              <w:t>PARTICIPATE</w:t>
            </w:r>
          </w:p>
        </w:tc>
        <w:tc>
          <w:tcPr>
            <w:tcW w:type="dxa" w:w="2074"/>
            <w:shd w:fill="F0DED3"/>
            <w:tcMar>
              <w:top w:w="95" w:type="dxa"/>
              <w:start w:w="65" w:type="dxa"/>
              <w:bottom w:w="95" w:type="dxa"/>
              <w:end w:w="65" w:type="dxa"/>
            </w:tcMar>
          </w:tcPr>
          <w:p>
            <w:pPr>
              <w:jc w:val="center"/>
            </w:pPr>
            <w:r>
              <w:rPr>
                <w:rFonts w:ascii="Noto Sans" w:hAnsi="Noto Sans"/>
                <w:b/>
                <w:color w:val="5E2C1B"/>
                <w:sz w:val="16"/>
              </w:rPr>
              <w:t>TAKE RESPONSIBILITY</w:t>
            </w:r>
          </w:p>
        </w:tc>
        <w:tc>
          <w:tcPr>
            <w:tcW w:type="dxa" w:w="2074"/>
            <w:shd w:fill="F8F3EB"/>
            <w:tcMar>
              <w:top w:w="95" w:type="dxa"/>
              <w:start w:w="65" w:type="dxa"/>
              <w:bottom w:w="95" w:type="dxa"/>
              <w:end w:w="65" w:type="dxa"/>
            </w:tcMar>
          </w:tcPr>
          <w:p>
            <w:pPr>
              <w:jc w:val="center"/>
            </w:pPr>
            <w:r>
              <w:rPr>
                <w:rFonts w:ascii="Noto Sans" w:hAnsi="Noto Sans"/>
                <w:b/>
                <w:color w:val="5E2C1B"/>
                <w:sz w:val="16"/>
              </w:rPr>
              <w:t>HELP OTHERS</w:t>
            </w:r>
          </w:p>
        </w:tc>
      </w:tr>
    </w:tbl>
    <w:p>
      <w:pPr>
        <w:spacing w:after="60" w:line="252" w:lineRule="auto" w:before="0"/>
      </w:pPr>
      <w:r>
        <w:rPr>
          <w:rFonts w:ascii="Arial" w:hAnsi="Arial"/>
          <w:b w:val="0"/>
          <w:i w:val="0"/>
          <w:color w:val="000000"/>
          <w:sz w:val="19"/>
        </w:rPr>
        <w:t>Never change a price, need, receipt, beneficiary amount, or story to create hidden personal gain.</w:t>
      </w:r>
    </w:p>
    <w:p>
      <w:pPr>
        <w:spacing w:after="60" w:line="252" w:lineRule="auto" w:before="0"/>
      </w:pPr>
      <w:r>
        <w:rPr>
          <w:rFonts w:ascii="Arial" w:hAnsi="Arial"/>
          <w:b w:val="0"/>
          <w:i w:val="0"/>
          <w:color w:val="000000"/>
          <w:sz w:val="19"/>
        </w:rPr>
        <w:t>Never accept or conceal a kickback, secret commission, hidden markup, or diverted amount.</w:t>
      </w:r>
    </w:p>
    <w:p>
      <w:pPr>
        <w:spacing w:after="60" w:line="252" w:lineRule="auto" w:before="0"/>
      </w:pPr>
      <w:r>
        <w:rPr>
          <w:rFonts w:ascii="Arial" w:hAnsi="Arial"/>
          <w:b w:val="0"/>
          <w:i w:val="0"/>
          <w:color w:val="000000"/>
          <w:sz w:val="19"/>
        </w:rPr>
        <w:t>The amount does not matter: intentional deception involving even a very small amount violates DIA's trust standard.</w:t>
      </w:r>
    </w:p>
    <w:p>
      <w:pPr>
        <w:spacing w:after="60" w:line="252" w:lineRule="auto" w:before="0"/>
      </w:pPr>
      <w:r>
        <w:rPr>
          <w:rFonts w:ascii="Arial" w:hAnsi="Arial"/>
          <w:b w:val="0"/>
          <w:i w:val="0"/>
          <w:color w:val="000000"/>
          <w:sz w:val="19"/>
        </w:rPr>
        <w:t>Report mistakes promptly. A disclosed mistake is treated differently from a deliberate cover-up.</w:t>
      </w:r>
    </w:p>
    <w:p>
      <w:pPr>
        <w:spacing w:after="60" w:line="252" w:lineRule="auto" w:before="0"/>
      </w:pPr>
      <w:r>
        <w:rPr>
          <w:rFonts w:ascii="Arial" w:hAnsi="Arial"/>
          <w:b w:val="0"/>
          <w:i w:val="0"/>
          <w:color w:val="000000"/>
          <w:sz w:val="19"/>
        </w:rPr>
        <w:t>Suspected intentional financial deception must be reported to DIA leadership and Aaron/IFF and normally results in expulsion unless explicitly overridden.</w:t>
      </w:r>
    </w:p>
    <w:sectPr w:rsidR="00FC693F" w:rsidRPr="0006063C" w:rsidSect="00034616">
      <w:head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before="0"/>
      <w:jc w:val="center"/>
    </w:pPr>
    <w:r>
      <w:rPr>
        <w:rFonts w:ascii="Arial" w:hAnsi="Arial"/>
      </w:rPr>
    </w:r>
  </w:p>
  <w:p>
    <w:pPr>
      <w:spacing w:after="40" w:before="0"/>
      <w:jc w:val="center"/>
    </w:pPr>
    <w:r>
      <w:rPr>
        <w:rFonts w:ascii="Arial" w:hAnsi="Arial"/>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eastAsia="Noto Sans"/>
      <w:color w:val="23171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w:hAnsi="Noto Serif" w:eastAsia="Noto Serif"/>
      <w:b/>
      <w:bCs/>
      <w:color w:val="23171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w:hAnsi="Noto Serif" w:eastAsia="Noto Serif"/>
      <w:b/>
      <w:bCs/>
      <w:color w:val="23171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erif" w:hAnsi="Noto Serif" w:eastAsia="Noto Serif"/>
      <w:b/>
      <w:bCs/>
      <w:color w:val="23171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eastAsia="Noto Serif"/>
      <w:color w:val="23171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