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60" w:line="252" w:lineRule="auto"/>
        <w:jc w:val="center"/>
      </w:pPr>
      <w:r>
        <w:rPr>
          <w:rFonts w:ascii="Arial" w:hAnsi="Arial"/>
          <w:b/>
          <w:color w:val="000000"/>
          <w:sz w:val="19"/>
        </w:rPr>
        <w:t>DISCIPLESHIP IN ACTION</w:t>
      </w:r>
    </w:p>
    <w:p>
      <w:pPr>
        <w:spacing w:before="0" w:after="60" w:line="252" w:lineRule="auto"/>
        <w:jc w:val="center"/>
      </w:pPr>
      <w:r>
        <w:rPr>
          <w:rFonts w:ascii="Arial" w:hAnsi="Arial"/>
          <w:b/>
          <w:color w:val="000000"/>
          <w:sz w:val="19"/>
        </w:rPr>
        <w:t>Ministry House Policies &amp; Procedures</w:t>
      </w:r>
    </w:p>
    <w:p>
      <w:pPr>
        <w:spacing w:before="0" w:after="60" w:line="252" w:lineRule="auto"/>
        <w:jc w:val="center"/>
      </w:pPr>
      <w:r>
        <w:rPr>
          <w:rFonts w:ascii="Arial" w:hAnsi="Arial"/>
          <w:b w:val="0"/>
          <w:color w:val="000000"/>
          <w:sz w:val="19"/>
        </w:rPr>
        <w:t>Following Jesus. Loving God. Loving others. Living it out.</w:t>
      </w:r>
    </w:p>
    <w:p>
      <w:pPr>
        <w:spacing w:before="0" w:after="40" w:line="252" w:lineRule="auto"/>
        <w:jc w:val="center"/>
      </w:pPr>
      <w:r>
        <w:rPr>
          <w:rFonts w:ascii="Arial" w:hAnsi="Arial"/>
        </w:rPr>
      </w:r>
    </w:p>
    <w:p>
      <w:pPr>
        <w:spacing w:after="60" w:before="0" w:line="252" w:lineRule="auto"/>
      </w:pPr>
    </w:p>
    <w:tbl>
      <w:tblPr>
        <w:tblW w:type="auto" w:w="0"/>
        <w:jc w:val="center"/>
        <w:tblLook w:firstColumn="1" w:firstRow="1" w:lastColumn="0" w:lastRow="0" w:noHBand="0" w:noVBand="1" w:val="04A0"/>
      </w:tblPr>
      <w:tblGrid>
        <w:gridCol w:w="10454"/>
      </w:tblGrid>
      <w:tr>
        <w:tc>
          <w:tcPr>
            <w:tcW w:type="dxa" w:w="10454"/>
            <w:shd w:fill="F7EBCB"/>
            <w:tcMar>
              <w:top w:w="110" w:type="dxa"/>
              <w:start w:w="130" w:type="dxa"/>
              <w:bottom w:w="110" w:type="dxa"/>
              <w:end w:w="130" w:type="dxa"/>
            </w:tcMar>
          </w:tcPr>
          <w:p>
            <w:r>
              <w:rPr>
                <w:b/>
                <w:color w:val="17324D"/>
                <w:sz w:val="20"/>
              </w:rPr>
              <w:t>IMPORTANT</w:t>
              <w:br/>
            </w:r>
            <w:r>
              <w:rPr>
                <w:color w:val="24313A"/>
                <w:sz w:val="18"/>
              </w:rPr>
              <w:t>The Ministry House is a discipleship and ministry community, not a fixed-length course. Residence and participation are subject to ongoing discernment. There is no guaranteed minimum stay and no automatic graduation date.</w:t>
            </w:r>
          </w:p>
        </w:tc>
      </w:tr>
    </w:tbl>
    <w:p>
      <w:pPr>
        <w:spacing w:after="60" w:before="0" w:line="252" w:lineRule="auto"/>
      </w:pPr>
    </w:p>
    <w:p>
      <w:pPr>
        <w:pStyle w:val="Heading1"/>
        <w:spacing w:before="160" w:after="80"/>
      </w:pPr>
      <w:r>
        <w:rPr>
          <w:rFonts w:ascii="Arial" w:hAnsi="Arial"/>
          <w:b/>
          <w:color w:val="000000"/>
          <w:sz w:val="26"/>
        </w:rPr>
        <w:t>Core Operating Principles</w:t>
      </w:r>
    </w:p>
    <w:p>
      <w:pPr>
        <w:pStyle w:val="ListBullet"/>
        <w:spacing w:after="60" w:before="0" w:line="252" w:lineRule="auto"/>
        <w:ind w:left="259" w:hanging="173"/>
      </w:pPr>
      <w:r>
        <w:rPr>
          <w:rFonts w:ascii="Arial" w:hAnsi="Arial"/>
          <w:b/>
          <w:color w:val="000000"/>
          <w:sz w:val="19"/>
        </w:rPr>
        <w:t xml:space="preserve">Jesus-centered. </w:t>
      </w:r>
      <w:r>
        <w:rPr>
          <w:rFonts w:ascii="Arial" w:hAnsi="Arial"/>
          <w:color w:val="000000"/>
          <w:sz w:val="19"/>
        </w:rPr>
        <w:t>Prayer, Scripture, Christian community, service, disciple-making, and multiplication are central.</w:t>
      </w:r>
    </w:p>
    <w:p>
      <w:pPr>
        <w:pStyle w:val="ListBullet"/>
        <w:spacing w:after="60" w:before="0" w:line="252" w:lineRule="auto"/>
        <w:ind w:left="259" w:hanging="173"/>
      </w:pPr>
      <w:r>
        <w:rPr>
          <w:rFonts w:ascii="Arial" w:hAnsi="Arial"/>
          <w:b/>
          <w:color w:val="000000"/>
          <w:sz w:val="19"/>
        </w:rPr>
        <w:t xml:space="preserve">Ministry from the beginning. </w:t>
      </w:r>
      <w:r>
        <w:rPr>
          <w:rFonts w:ascii="Arial" w:hAnsi="Arial"/>
          <w:color w:val="000000"/>
          <w:sz w:val="19"/>
        </w:rPr>
        <w:t>Participants learn by serving alongside experienced leaders rather than waiting to complete a classroom phase.</w:t>
      </w:r>
    </w:p>
    <w:p>
      <w:pPr>
        <w:pStyle w:val="ListBullet"/>
        <w:spacing w:after="60" w:before="0" w:line="252" w:lineRule="auto"/>
        <w:ind w:left="259" w:hanging="173"/>
      </w:pPr>
      <w:r>
        <w:rPr>
          <w:rFonts w:ascii="Arial" w:hAnsi="Arial"/>
          <w:b/>
          <w:color w:val="000000"/>
          <w:sz w:val="19"/>
        </w:rPr>
        <w:t xml:space="preserve">Flexible rhythm. </w:t>
      </w:r>
      <w:r>
        <w:rPr>
          <w:rFonts w:ascii="Arial" w:hAnsi="Arial"/>
          <w:color w:val="000000"/>
          <w:sz w:val="19"/>
        </w:rPr>
        <w:t>Most weeks will include planned ministry, training, prayer, and community life on approximately six days, but activities may move between mornings, afternoons, and evenings.</w:t>
      </w:r>
    </w:p>
    <w:p>
      <w:pPr>
        <w:pStyle w:val="ListBullet"/>
        <w:spacing w:after="60" w:before="0" w:line="252" w:lineRule="auto"/>
        <w:ind w:left="259" w:hanging="173"/>
      </w:pPr>
      <w:r>
        <w:rPr>
          <w:rFonts w:ascii="Arial" w:hAnsi="Arial"/>
          <w:b/>
          <w:color w:val="000000"/>
          <w:sz w:val="19"/>
        </w:rPr>
        <w:t xml:space="preserve">Single-sex residence. </w:t>
      </w:r>
      <w:r>
        <w:rPr>
          <w:rFonts w:ascii="Arial" w:hAnsi="Arial"/>
          <w:color w:val="000000"/>
          <w:sz w:val="19"/>
        </w:rPr>
        <w:t>This manual applies to a men's Ministry House. Men's and women's residential houses remain separate. Married couples may have separate, specifically approved accommodation.</w:t>
      </w:r>
    </w:p>
    <w:p>
      <w:pPr>
        <w:pStyle w:val="ListBullet"/>
        <w:spacing w:after="60" w:before="0" w:line="252" w:lineRule="auto"/>
        <w:ind w:left="259" w:hanging="173"/>
      </w:pPr>
      <w:r>
        <w:rPr>
          <w:rFonts w:ascii="Arial" w:hAnsi="Arial"/>
          <w:b/>
          <w:color w:val="000000"/>
          <w:sz w:val="19"/>
        </w:rPr>
        <w:t xml:space="preserve">Ongoing discernment. </w:t>
      </w:r>
      <w:r>
        <w:rPr>
          <w:rFonts w:ascii="Arial" w:hAnsi="Arial"/>
          <w:color w:val="000000"/>
          <w:sz w:val="19"/>
        </w:rPr>
        <w:t>Leadership continually evaluates whether participation and residence remain healthy for the participant, the house, and the ministry.</w:t>
      </w:r>
    </w:p>
    <w:p>
      <w:pPr>
        <w:pStyle w:val="ListBullet"/>
        <w:spacing w:after="60" w:before="0" w:line="252" w:lineRule="auto"/>
        <w:ind w:left="259" w:hanging="173"/>
      </w:pPr>
      <w:r>
        <w:rPr>
          <w:rFonts w:ascii="Arial" w:hAnsi="Arial"/>
          <w:b/>
          <w:color w:val="000000"/>
          <w:sz w:val="19"/>
        </w:rPr>
        <w:t xml:space="preserve">Accountable leadership. </w:t>
      </w:r>
      <w:r>
        <w:rPr>
          <w:rFonts w:ascii="Arial" w:hAnsi="Arial"/>
          <w:color w:val="000000"/>
          <w:sz w:val="19"/>
        </w:rPr>
        <w:t>Leaders are subject to the same core conduct standards as participants and can be corrected, suspended, or removed.</w:t>
      </w:r>
    </w:p>
    <w:p>
      <w:pPr>
        <w:pStyle w:val="ListBullet"/>
        <w:spacing w:before="0" w:after="60" w:line="252" w:lineRule="auto"/>
      </w:pPr>
      <w:r>
        <w:rPr>
          <w:rFonts w:ascii="Arial" w:hAnsi="Arial"/>
          <w:color w:val="000000"/>
          <w:sz w:val="19"/>
        </w:rPr>
        <w:t>Truth and financial integrity. Deception, lying, scamming, fabricated needs, falsified records, hidden personal profit, kickbacks, or deliberate financial deception are not tolerated.</w:t>
      </w:r>
    </w:p>
    <w:p>
      <w:pPr>
        <w:pStyle w:val="Heading1"/>
        <w:spacing w:before="160" w:after="80"/>
      </w:pPr>
      <w:r>
        <w:rPr>
          <w:rFonts w:ascii="Arial" w:hAnsi="Arial"/>
          <w:b/>
          <w:color w:val="000000"/>
          <w:sz w:val="26"/>
        </w:rPr>
        <w:t>1. Joining Discipleship in Action</w:t>
      </w:r>
    </w:p>
    <w:p>
      <w:pPr>
        <w:pStyle w:val="Heading2"/>
        <w:spacing w:before="100" w:after="60"/>
      </w:pPr>
      <w:r>
        <w:rPr>
          <w:rFonts w:ascii="Arial" w:hAnsi="Arial"/>
          <w:b/>
          <w:color w:val="000000"/>
          <w:sz w:val="22"/>
        </w:rPr>
        <w:t>1.1 Eligibility</w:t>
      </w:r>
    </w:p>
    <w:p>
      <w:pPr>
        <w:pStyle w:val="ListBullet"/>
        <w:spacing w:after="60" w:before="0" w:line="252" w:lineRule="auto"/>
        <w:ind w:left="259" w:hanging="173"/>
      </w:pPr>
      <w:r>
        <w:rPr>
          <w:rFonts w:ascii="Arial" w:hAnsi="Arial"/>
          <w:color w:val="000000"/>
          <w:sz w:val="19"/>
        </w:rPr>
        <w:t>Residential participants must normally be at least 18 years old.</w:t>
      </w:r>
    </w:p>
    <w:p>
      <w:pPr>
        <w:pStyle w:val="ListBullet"/>
        <w:spacing w:after="60" w:before="0" w:line="252" w:lineRule="auto"/>
        <w:ind w:left="259" w:hanging="173"/>
      </w:pPr>
      <w:r>
        <w:rPr>
          <w:rFonts w:ascii="Arial" w:hAnsi="Arial"/>
          <w:color w:val="000000"/>
          <w:sz w:val="19"/>
        </w:rPr>
        <w:t>A person under 18 may participate in selected ministry or discipleship activities while living with a parent or legal guardian, subject to safeguarding requirements and leadership approval.</w:t>
      </w:r>
    </w:p>
    <w:p>
      <w:pPr>
        <w:pStyle w:val="ListBullet"/>
        <w:spacing w:after="60" w:before="0" w:line="252" w:lineRule="auto"/>
        <w:ind w:left="259" w:hanging="173"/>
      </w:pPr>
      <w:r>
        <w:rPr>
          <w:rFonts w:ascii="Arial" w:hAnsi="Arial"/>
          <w:color w:val="000000"/>
          <w:sz w:val="19"/>
        </w:rPr>
        <w:t>A participant does not have to already identify as a Christian. A sincere seeker may join if he genuinely wants to learn about and follow Jesus and willingly participates in the Christian nature of the community.</w:t>
      </w:r>
    </w:p>
    <w:p>
      <w:pPr>
        <w:pStyle w:val="ListBullet"/>
        <w:spacing w:after="60" w:before="0" w:line="252" w:lineRule="auto"/>
        <w:ind w:left="259" w:hanging="173"/>
      </w:pPr>
      <w:r>
        <w:rPr>
          <w:rFonts w:ascii="Arial" w:hAnsi="Arial"/>
          <w:color w:val="000000"/>
          <w:sz w:val="19"/>
        </w:rPr>
        <w:t>Applicants must be willing to live in community, participate in ministry and discipleship, accept leadership and correction, and respect the standards of the house.</w:t>
      </w:r>
    </w:p>
    <w:p>
      <w:pPr>
        <w:pStyle w:val="Heading2"/>
        <w:spacing w:before="100" w:after="60"/>
      </w:pPr>
      <w:r>
        <w:rPr>
          <w:rFonts w:ascii="Arial" w:hAnsi="Arial"/>
          <w:b/>
          <w:color w:val="000000"/>
          <w:sz w:val="22"/>
        </w:rPr>
        <w:t>1.2 Admission Process</w:t>
      </w:r>
    </w:p>
    <w:p>
      <w:pPr>
        <w:pStyle w:val="ListNumber"/>
        <w:spacing w:after="60" w:before="0" w:line="252" w:lineRule="auto"/>
      </w:pPr>
      <w:r>
        <w:rPr>
          <w:rFonts w:ascii="Arial" w:hAnsi="Arial"/>
          <w:color w:val="000000"/>
          <w:sz w:val="19"/>
        </w:rPr>
        <w:t>Referral or expression of interest.</w:t>
      </w:r>
    </w:p>
    <w:p>
      <w:pPr>
        <w:pStyle w:val="ListNumber"/>
        <w:spacing w:after="60" w:before="0" w:line="252" w:lineRule="auto"/>
      </w:pPr>
      <w:r>
        <w:rPr>
          <w:rFonts w:ascii="Arial" w:hAnsi="Arial"/>
          <w:color w:val="000000"/>
          <w:sz w:val="19"/>
        </w:rPr>
        <w:t>Application and personal background/testimony.</w:t>
      </w:r>
    </w:p>
    <w:p>
      <w:pPr>
        <w:pStyle w:val="ListNumber"/>
        <w:spacing w:after="60" w:before="0" w:line="252" w:lineRule="auto"/>
      </w:pPr>
      <w:r>
        <w:rPr>
          <w:rFonts w:ascii="Arial" w:hAnsi="Arial"/>
          <w:color w:val="000000"/>
          <w:sz w:val="19"/>
        </w:rPr>
        <w:t>Interview with ministry leadership.</w:t>
      </w:r>
    </w:p>
    <w:p>
      <w:pPr>
        <w:pStyle w:val="ListNumber"/>
        <w:spacing w:after="60" w:before="0" w:line="252" w:lineRule="auto"/>
      </w:pPr>
      <w:r>
        <w:rPr>
          <w:rFonts w:ascii="Arial" w:hAnsi="Arial"/>
          <w:color w:val="000000"/>
          <w:sz w:val="19"/>
        </w:rPr>
        <w:t>References and reasonable independent character verification.</w:t>
      </w:r>
    </w:p>
    <w:p>
      <w:pPr>
        <w:pStyle w:val="ListNumber"/>
        <w:spacing w:after="60" w:before="0" w:line="252" w:lineRule="auto"/>
      </w:pPr>
      <w:r>
        <w:rPr>
          <w:rFonts w:ascii="Arial" w:hAnsi="Arial"/>
          <w:color w:val="000000"/>
          <w:sz w:val="19"/>
        </w:rPr>
        <w:t>Time serving alongside the team when practical so character, attitude, reliability, and willingness to serve can be observed.</w:t>
      </w:r>
    </w:p>
    <w:p>
      <w:pPr>
        <w:pStyle w:val="ListNumber"/>
        <w:spacing w:after="60" w:before="0" w:line="252" w:lineRule="auto"/>
      </w:pPr>
      <w:r>
        <w:rPr>
          <w:rFonts w:ascii="Arial" w:hAnsi="Arial"/>
          <w:color w:val="000000"/>
          <w:sz w:val="19"/>
        </w:rPr>
        <w:t>Approval by at least two of the three Ministry House leaders, subject to any reserved IFF approval requirements.</w:t>
      </w:r>
    </w:p>
    <w:p>
      <w:pPr>
        <w:pStyle w:val="Heading2"/>
        <w:spacing w:before="100" w:after="60"/>
      </w:pPr>
      <w:r>
        <w:rPr>
          <w:rFonts w:ascii="Arial" w:hAnsi="Arial"/>
          <w:b/>
          <w:color w:val="000000"/>
          <w:sz w:val="22"/>
        </w:rPr>
        <w:t>1.3 Ongoing Discernment</w:t>
      </w:r>
    </w:p>
    <w:tbl>
      <w:tblPr>
        <w:tblW w:type="auto" w:w="0"/>
        <w:jc w:val="center"/>
        <w:tblLook w:firstColumn="1" w:firstRow="1" w:lastColumn="0" w:lastRow="0" w:noHBand="0" w:noVBand="1" w:val="04A0"/>
      </w:tblPr>
      <w:tblGrid>
        <w:gridCol w:w="10454"/>
      </w:tblGrid>
      <w:tr>
        <w:tc>
          <w:tcPr>
            <w:tcW w:type="dxa" w:w="10454"/>
            <w:shd w:fill="DCEAF7"/>
            <w:tcMar>
              <w:top w:w="110" w:type="dxa"/>
              <w:start w:w="130" w:type="dxa"/>
              <w:bottom w:w="110" w:type="dxa"/>
              <w:end w:w="130" w:type="dxa"/>
            </w:tcMar>
          </w:tcPr>
          <w:p>
            <w:r>
              <w:rPr>
                <w:b/>
                <w:color w:val="17324D"/>
                <w:sz w:val="20"/>
              </w:rPr>
              <w:t>NO FIXED TRIAL PERIOD</w:t>
              <w:br/>
            </w:r>
            <w:r>
              <w:rPr>
                <w:color w:val="24313A"/>
                <w:sz w:val="18"/>
              </w:rPr>
              <w:t>There is no 30-day, 60-day, or other guaranteed probation period. A participant may prove to be a strong fit immediately, or concerns may arise at any point months later. Continued residence depends on ongoing leadership discernment.</w:t>
            </w:r>
          </w:p>
        </w:tc>
      </w:tr>
    </w:tbl>
    <w:p>
      <w:pPr>
        <w:spacing w:after="60" w:before="0" w:line="252" w:lineRule="auto"/>
      </w:pPr>
    </w:p>
    <w:p>
      <w:pPr>
        <w:spacing w:before="0" w:after="60" w:line="252" w:lineRule="auto"/>
      </w:pPr>
      <w:r>
        <w:rPr>
          <w:rFonts w:ascii="Arial" w:hAnsi="Arial"/>
          <w:color w:val="000000"/>
          <w:sz w:val="19"/>
        </w:rPr>
        <w:t>Leadership may determine at any time that continued residence or participation is no longer appropriate. For ordinary participation or conduct problems, the normal approach is discussion, a clear explanation of what needs to change, a reasonable opportunity to improve, and further review. Serious misconduct or safety concerns may require immediate action.</w:t>
      </w:r>
    </w:p>
    <w:p>
      <w:pPr>
        <w:pStyle w:val="Heading1"/>
        <w:spacing w:before="160" w:after="80"/>
      </w:pPr>
      <w:r>
        <w:rPr>
          <w:rFonts w:ascii="Arial" w:hAnsi="Arial"/>
          <w:b/>
          <w:color w:val="000000"/>
          <w:sz w:val="26"/>
        </w:rPr>
        <w:t>2. Participation &amp; Weekly Rhythm</w:t>
      </w:r>
    </w:p>
    <w:p>
      <w:pPr>
        <w:pStyle w:val="Heading2"/>
        <w:spacing w:before="100" w:after="60"/>
      </w:pPr>
      <w:r>
        <w:rPr>
          <w:rFonts w:ascii="Arial" w:hAnsi="Arial"/>
          <w:b/>
          <w:color w:val="000000"/>
          <w:sz w:val="22"/>
        </w:rPr>
        <w:t>2.1 General Expectation</w:t>
      </w:r>
    </w:p>
    <w:p>
      <w:pPr>
        <w:spacing w:before="0" w:after="60" w:line="252" w:lineRule="auto"/>
      </w:pPr>
      <w:r>
        <w:rPr>
          <w:rFonts w:ascii="Arial" w:hAnsi="Arial"/>
          <w:color w:val="000000"/>
          <w:sz w:val="19"/>
        </w:rPr>
        <w:t>The Ministry House is intentionally active. In a normal week, approximately six days will include some planned combination of ministry, prayer, training, community responsibilities, or special activities. One day will normally be more open for rest, family, personal needs, or informal relationships. Daily details remain flexible, but participants should expect a shared rhythm rather than isolated personal schedules.</w:t>
      </w:r>
    </w:p>
    <w:p>
      <w:pPr>
        <w:pStyle w:val="Heading2"/>
        <w:spacing w:before="100" w:after="60"/>
      </w:pPr>
      <w:r>
        <w:rPr>
          <w:rFonts w:ascii="Arial" w:hAnsi="Arial"/>
          <w:b/>
          <w:color w:val="000000"/>
          <w:sz w:val="22"/>
        </w:rPr>
        <w:t>2.2 Daily Rhythm</w:t>
      </w:r>
    </w:p>
    <w:p>
      <w:pPr>
        <w:spacing w:before="0" w:after="60" w:line="252" w:lineRule="auto"/>
      </w:pPr>
      <w:r>
        <w:rPr>
          <w:rFonts w:ascii="Arial" w:hAnsi="Arial"/>
          <w:color w:val="000000"/>
          <w:sz w:val="19"/>
        </w:rPr>
        <w:t>The detailed daily rhythm is described in the Discipleship &amp; Ministry Guide. For policy purposes, participants are expected to cooperate with reasonable schedule changes and shared house responsibilities.</w:t>
      </w:r>
    </w:p>
    <w:p>
      <w:pPr>
        <w:pStyle w:val="Heading2"/>
        <w:spacing w:before="100" w:after="60"/>
      </w:pPr>
      <w:r>
        <w:rPr>
          <w:rFonts w:ascii="Arial" w:hAnsi="Arial"/>
          <w:b/>
          <w:color w:val="000000"/>
          <w:sz w:val="22"/>
        </w:rPr>
        <w:t>2.3 Repeated Nonparticipation</w:t>
      </w:r>
    </w:p>
    <w:p>
      <w:pPr>
        <w:spacing w:before="0" w:after="60" w:line="252" w:lineRule="auto"/>
      </w:pPr>
      <w:r>
        <w:rPr>
          <w:rFonts w:ascii="Arial" w:hAnsi="Arial"/>
          <w:color w:val="000000"/>
          <w:sz w:val="19"/>
        </w:rPr>
        <w:t>Occasional absences are expected. A pattern of unnecessarily refusing or missing ministry, prayer, training, or community responsibilities is different.</w:t>
      </w:r>
    </w:p>
    <w:p>
      <w:pPr>
        <w:pStyle w:val="ListNumber"/>
        <w:spacing w:after="60" w:before="0" w:line="252" w:lineRule="auto"/>
      </w:pPr>
      <w:r>
        <w:rPr>
          <w:rFonts w:ascii="Arial" w:hAnsi="Arial"/>
          <w:color w:val="000000"/>
          <w:sz w:val="19"/>
        </w:rPr>
        <w:t>A leader speaks privately with the participant and explains the concern.</w:t>
      </w:r>
    </w:p>
    <w:p>
      <w:pPr>
        <w:pStyle w:val="ListNumber"/>
        <w:spacing w:after="60" w:before="0" w:line="252" w:lineRule="auto"/>
      </w:pPr>
      <w:r>
        <w:rPr>
          <w:rFonts w:ascii="Arial" w:hAnsi="Arial"/>
          <w:color w:val="000000"/>
          <w:sz w:val="19"/>
        </w:rPr>
        <w:t>The participant is given a reasonable opportunity to improve.</w:t>
      </w:r>
    </w:p>
    <w:p>
      <w:pPr>
        <w:pStyle w:val="ListNumber"/>
        <w:spacing w:after="60" w:before="0" w:line="252" w:lineRule="auto"/>
      </w:pPr>
      <w:r>
        <w:rPr>
          <w:rFonts w:ascii="Arial" w:hAnsi="Arial"/>
          <w:color w:val="000000"/>
          <w:sz w:val="19"/>
        </w:rPr>
        <w:t>If the pattern continues, leadership reviews whether continued participation and residence remain appropriate.</w:t>
      </w:r>
    </w:p>
    <w:p>
      <w:pPr>
        <w:pStyle w:val="ListNumber"/>
        <w:spacing w:after="60" w:before="0" w:line="252" w:lineRule="auto"/>
      </w:pPr>
      <w:r>
        <w:rPr>
          <w:rFonts w:ascii="Arial" w:hAnsi="Arial"/>
          <w:color w:val="000000"/>
          <w:sz w:val="19"/>
        </w:rPr>
        <w:t>If leadership concludes that the participant is unwilling to meaningfully participate, his residence or participation may be ended.</w:t>
      </w:r>
    </w:p>
    <w:p>
      <w:pPr>
        <w:pStyle w:val="Heading1"/>
        <w:spacing w:before="160" w:after="80"/>
      </w:pPr>
      <w:r>
        <w:rPr>
          <w:rFonts w:ascii="Arial" w:hAnsi="Arial"/>
          <w:b/>
          <w:color w:val="000000"/>
          <w:sz w:val="26"/>
        </w:rPr>
        <w:t>3. Truth, Trust &amp; Financial Integrity</w:t>
      </w:r>
    </w:p>
    <w:p>
      <w:pPr>
        <w:spacing w:before="0" w:after="60" w:line="252" w:lineRule="auto"/>
      </w:pPr>
      <w:r>
        <w:rPr>
          <w:rFonts w:ascii="Arial" w:hAnsi="Arial"/>
          <w:color w:val="000000"/>
          <w:sz w:val="19"/>
        </w:rPr>
        <w:t>Truth and trust are foundational to Discipleship in Action. Participants and leaders are expected to tell the truth, correct false statements, and refuse scams, fraud, hidden personal profit, kickbacks, fabricated needs, falsified records, or other intentional deception.</w:t>
      </w:r>
    </w:p>
    <w:p>
      <w:pPr>
        <w:spacing w:before="0" w:after="60" w:line="252" w:lineRule="auto"/>
      </w:pPr>
      <w:r>
        <w:rPr>
          <w:rFonts w:ascii="Arial" w:hAnsi="Arial"/>
          <w:color w:val="000000"/>
          <w:sz w:val="19"/>
        </w:rPr>
        <w:t>There is no minimum amount below which intentional financial deception is acceptable. Deliberately inflating a price, hiding a discount or kickback, falsifying a receipt, inventing a need, diverting funds, secretly adding personal profit, misrepresenting who received money, or using any other deceptive method to obtain or conceal even a very small amount is a serious violation.</w:t>
      </w:r>
    </w:p>
    <w:p>
      <w:pPr>
        <w:spacing w:before="0" w:after="60" w:line="252" w:lineRule="auto"/>
      </w:pPr>
      <w:r>
        <w:rPr>
          <w:rFonts w:ascii="Arial" w:hAnsi="Arial"/>
          <w:color w:val="000000"/>
          <w:sz w:val="19"/>
        </w:rPr>
        <w:t>The default consequence for intentional financial deception, fraud, scamming, theft, or knowingly participating in such a scheme is expulsion from the residential DIA community and/or DIA participation. This default may be overridden only after explicit review by the appropriate DIA leadership or Aaron/IFF when exceptional circumstances justify a different response.</w:t>
      </w:r>
    </w:p>
    <w:p>
      <w:pPr>
        <w:spacing w:before="0" w:after="60" w:line="252" w:lineRule="auto"/>
      </w:pPr>
      <w:r>
        <w:rPr>
          <w:rFonts w:ascii="Arial" w:hAnsi="Arial"/>
          <w:color w:val="000000"/>
          <w:sz w:val="19"/>
        </w:rPr>
        <w:t>Leaders and anyone handling money, receipts, purchasing, reporting, or communications with IFF are held to a heightened trust standard. Promptly admitting a mistake is treated very differently from hiding the mistake or altering the story or records.</w:t>
      </w:r>
    </w:p>
    <w:p>
      <w:pPr>
        <w:pStyle w:val="Heading2"/>
        <w:spacing w:before="100" w:after="60"/>
      </w:pPr>
      <w:r>
        <w:rPr>
          <w:rFonts w:ascii="Arial" w:hAnsi="Arial"/>
          <w:b/>
          <w:color w:val="000000"/>
          <w:sz w:val="22"/>
        </w:rPr>
        <w:t>3.1 Required Response to Suspected Financial Deception</w:t>
      </w:r>
    </w:p>
    <w:p>
      <w:pPr>
        <w:pStyle w:val="ListBullet"/>
        <w:spacing w:before="0" w:after="60" w:line="252" w:lineRule="auto"/>
      </w:pPr>
      <w:r>
        <w:rPr>
          <w:rFonts w:ascii="Arial" w:hAnsi="Arial"/>
          <w:color w:val="000000"/>
          <w:sz w:val="19"/>
        </w:rPr>
        <w:t>Stop or secure the transaction or funds when reasonably possible.</w:t>
      </w:r>
    </w:p>
    <w:p>
      <w:pPr>
        <w:pStyle w:val="ListBullet"/>
        <w:spacing w:before="0" w:after="60" w:line="252" w:lineRule="auto"/>
      </w:pPr>
      <w:r>
        <w:rPr>
          <w:rFonts w:ascii="Arial" w:hAnsi="Arial"/>
          <w:color w:val="000000"/>
          <w:sz w:val="19"/>
        </w:rPr>
        <w:t>Preserve receipts, messages, quotes, vendor information, transfer records, and other relevant evidence.</w:t>
      </w:r>
    </w:p>
    <w:p>
      <w:pPr>
        <w:pStyle w:val="ListBullet"/>
        <w:spacing w:before="0" w:after="60" w:line="252" w:lineRule="auto"/>
      </w:pPr>
      <w:r>
        <w:rPr>
          <w:rFonts w:ascii="Arial" w:hAnsi="Arial"/>
          <w:color w:val="000000"/>
          <w:sz w:val="19"/>
        </w:rPr>
        <w:t>Notify another DIA leader and Aaron/IFF promptly.</w:t>
      </w:r>
    </w:p>
    <w:p>
      <w:pPr>
        <w:pStyle w:val="ListBullet"/>
        <w:spacing w:before="0" w:after="60" w:line="252" w:lineRule="auto"/>
      </w:pPr>
      <w:r>
        <w:rPr>
          <w:rFonts w:ascii="Arial" w:hAnsi="Arial"/>
          <w:color w:val="000000"/>
          <w:sz w:val="19"/>
        </w:rPr>
        <w:t>Do not allow the accused person to control the review or the records.</w:t>
      </w:r>
    </w:p>
    <w:p>
      <w:pPr>
        <w:pStyle w:val="ListBullet"/>
        <w:spacing w:before="0" w:after="60" w:line="252" w:lineRule="auto"/>
      </w:pPr>
      <w:r>
        <w:rPr>
          <w:rFonts w:ascii="Arial" w:hAnsi="Arial"/>
          <w:color w:val="000000"/>
          <w:sz w:val="19"/>
        </w:rPr>
        <w:t>Determine whether the conduct was a mistake, ordinary dishonesty, or intentional financial deception.</w:t>
      </w:r>
    </w:p>
    <w:p>
      <w:pPr>
        <w:pStyle w:val="ListBullet"/>
        <w:spacing w:before="0" w:after="60" w:line="252" w:lineRule="auto"/>
      </w:pPr>
      <w:r>
        <w:rPr>
          <w:rFonts w:ascii="Arial" w:hAnsi="Arial"/>
          <w:color w:val="000000"/>
          <w:sz w:val="19"/>
        </w:rPr>
        <w:t>For intentional financial deception, apply the default-expulsion rule unless leadership/Aaron-IFF explicitly approves an exception.</w:t>
      </w:r>
    </w:p>
    <w:p>
      <w:pPr>
        <w:pStyle w:val="ListBullet"/>
        <w:spacing w:before="0" w:after="60" w:line="252" w:lineRule="auto"/>
      </w:pPr>
      <w:r>
        <w:rPr>
          <w:rFonts w:ascii="Arial" w:hAnsi="Arial"/>
          <w:color w:val="000000"/>
          <w:sz w:val="19"/>
        </w:rPr>
        <w:t>Recover ministry funds or property when reasonably possible and document the final decision.</w:t>
      </w:r>
    </w:p>
    <w:p>
      <w:pPr>
        <w:pStyle w:val="Heading1"/>
        <w:spacing w:before="160" w:after="80"/>
      </w:pPr>
      <w:r>
        <w:rPr>
          <w:rFonts w:ascii="Arial" w:hAnsi="Arial"/>
          <w:b/>
          <w:color w:val="000000"/>
          <w:sz w:val="26"/>
        </w:rPr>
        <w:t>4. Ministry House Life</w:t>
      </w:r>
    </w:p>
    <w:p>
      <w:pPr>
        <w:pStyle w:val="Heading2"/>
        <w:spacing w:before="100" w:after="60"/>
      </w:pPr>
      <w:r>
        <w:rPr>
          <w:rFonts w:ascii="Arial" w:hAnsi="Arial"/>
          <w:b/>
          <w:color w:val="000000"/>
          <w:sz w:val="22"/>
        </w:rPr>
        <w:t>4.1 Community Responsibilities</w:t>
      </w:r>
    </w:p>
    <w:p>
      <w:pPr>
        <w:pStyle w:val="ListBullet"/>
        <w:spacing w:after="60" w:before="0" w:line="252" w:lineRule="auto"/>
        <w:ind w:left="259" w:hanging="173"/>
      </w:pPr>
      <w:r>
        <w:rPr>
          <w:rFonts w:ascii="Arial" w:hAnsi="Arial"/>
          <w:color w:val="000000"/>
          <w:sz w:val="19"/>
        </w:rPr>
        <w:t>Residents share reasonable cooking, cleaning, shopping, organization, and care of common spaces.</w:t>
      </w:r>
    </w:p>
    <w:p>
      <w:pPr>
        <w:pStyle w:val="ListBullet"/>
        <w:spacing w:after="60" w:before="0" w:line="252" w:lineRule="auto"/>
        <w:ind w:left="259" w:hanging="173"/>
      </w:pPr>
      <w:r>
        <w:rPr>
          <w:rFonts w:ascii="Arial" w:hAnsi="Arial"/>
          <w:color w:val="000000"/>
          <w:sz w:val="19"/>
        </w:rPr>
        <w:t>Residents clean up after themselves and respect other residents' belongings and privacy.</w:t>
      </w:r>
    </w:p>
    <w:p>
      <w:pPr>
        <w:pStyle w:val="ListBullet"/>
        <w:spacing w:after="60" w:before="0" w:line="252" w:lineRule="auto"/>
        <w:ind w:left="259" w:hanging="173"/>
      </w:pPr>
      <w:r>
        <w:rPr>
          <w:rFonts w:ascii="Arial" w:hAnsi="Arial"/>
          <w:color w:val="000000"/>
          <w:sz w:val="19"/>
        </w:rPr>
        <w:t>The House Leader may establish practical routines, assignments, meal arrangements, quiet expectations, and other ordinary household procedures without creating a separate formal policy for every detail.</w:t>
      </w:r>
    </w:p>
    <w:p>
      <w:pPr>
        <w:pStyle w:val="ListBullet"/>
        <w:spacing w:after="60" w:before="0" w:line="252" w:lineRule="auto"/>
        <w:ind w:left="259" w:hanging="173"/>
      </w:pPr>
      <w:r>
        <w:rPr>
          <w:rFonts w:ascii="Arial" w:hAnsi="Arial"/>
          <w:color w:val="000000"/>
          <w:sz w:val="19"/>
        </w:rPr>
        <w:t>Participants should contribute to a peaceful, respectful, hospitable, and spiritually healthy home.</w:t>
      </w:r>
    </w:p>
    <w:p>
      <w:pPr>
        <w:pStyle w:val="Heading2"/>
        <w:spacing w:before="100" w:after="60"/>
      </w:pPr>
      <w:r>
        <w:rPr>
          <w:rFonts w:ascii="Arial" w:hAnsi="Arial"/>
          <w:b/>
          <w:color w:val="000000"/>
          <w:sz w:val="22"/>
        </w:rPr>
        <w:t>4.2 Visitors &amp; Overnight Absence</w:t>
      </w:r>
    </w:p>
    <w:p>
      <w:pPr>
        <w:pStyle w:val="ListBullet"/>
        <w:spacing w:after="60" w:before="0" w:line="252" w:lineRule="auto"/>
        <w:ind w:left="259" w:hanging="173"/>
      </w:pPr>
      <w:r>
        <w:rPr>
          <w:rFonts w:ascii="Arial" w:hAnsi="Arial"/>
          <w:color w:val="000000"/>
          <w:sz w:val="19"/>
        </w:rPr>
        <w:t>Visitors may be permitted in approved common areas consistent with the single-sex residential nature of the house.</w:t>
      </w:r>
    </w:p>
    <w:p>
      <w:pPr>
        <w:pStyle w:val="ListBullet"/>
        <w:spacing w:after="60" w:before="0" w:line="252" w:lineRule="auto"/>
        <w:ind w:left="259" w:hanging="173"/>
      </w:pPr>
      <w:r>
        <w:rPr>
          <w:rFonts w:ascii="Arial" w:hAnsi="Arial"/>
          <w:color w:val="000000"/>
          <w:sz w:val="19"/>
        </w:rPr>
        <w:t>Overnight guests require leadership approval.</w:t>
      </w:r>
    </w:p>
    <w:p>
      <w:pPr>
        <w:pStyle w:val="ListBullet"/>
        <w:spacing w:after="60" w:before="0" w:line="252" w:lineRule="auto"/>
        <w:ind w:left="259" w:hanging="173"/>
      </w:pPr>
      <w:r>
        <w:rPr>
          <w:rFonts w:ascii="Arial" w:hAnsi="Arial"/>
          <w:color w:val="000000"/>
          <w:sz w:val="19"/>
        </w:rPr>
        <w:t>Private bedrooms are resident spaces and are not normal visitor areas.</w:t>
      </w:r>
    </w:p>
    <w:p>
      <w:pPr>
        <w:pStyle w:val="ListBullet"/>
        <w:spacing w:after="60" w:before="0" w:line="252" w:lineRule="auto"/>
        <w:ind w:left="259" w:hanging="173"/>
      </w:pPr>
      <w:r>
        <w:rPr>
          <w:rFonts w:ascii="Arial" w:hAnsi="Arial"/>
          <w:color w:val="000000"/>
          <w:sz w:val="19"/>
        </w:rPr>
        <w:t>Adults do not need permission for ordinary personal activities during free time, but significant travel or overnight absence should be communicated to the House Leader.</w:t>
      </w:r>
    </w:p>
    <w:p>
      <w:pPr>
        <w:pStyle w:val="ListBullet"/>
        <w:spacing w:after="60" w:before="0" w:line="252" w:lineRule="auto"/>
        <w:ind w:left="259" w:hanging="173"/>
      </w:pPr>
      <w:r>
        <w:rPr>
          <w:rFonts w:ascii="Arial" w:hAnsi="Arial"/>
          <w:color w:val="000000"/>
          <w:sz w:val="19"/>
        </w:rPr>
        <w:t>Reasonable family visits and personal time are encouraged; longer absences should be discussed so ministry responsibilities can be covered.</w:t>
      </w:r>
    </w:p>
    <w:p>
      <w:pPr>
        <w:pStyle w:val="Heading2"/>
        <w:spacing w:before="100" w:after="60"/>
      </w:pPr>
      <w:r>
        <w:rPr>
          <w:rFonts w:ascii="Arial" w:hAnsi="Arial"/>
          <w:b/>
          <w:color w:val="000000"/>
          <w:sz w:val="22"/>
        </w:rPr>
        <w:t>4.3 Marriage</w:t>
      </w:r>
    </w:p>
    <w:p>
      <w:pPr>
        <w:spacing w:before="0" w:after="60" w:line="252" w:lineRule="auto"/>
      </w:pPr>
      <w:r>
        <w:rPr>
          <w:rFonts w:ascii="Arial" w:hAnsi="Arial"/>
          <w:color w:val="000000"/>
          <w:sz w:val="19"/>
        </w:rPr>
        <w:t>Marriage does not end a person's connection to Discipleship in Action. A resident who marries would normally transition out of the single men's house. Separate married-couple accommodation may be developed when specifically approved and appropriate.</w:t>
      </w:r>
    </w:p>
    <w:p>
      <w:pPr>
        <w:pStyle w:val="Heading1"/>
        <w:spacing w:before="160" w:after="80"/>
      </w:pPr>
      <w:r>
        <w:rPr>
          <w:rFonts w:ascii="Arial" w:hAnsi="Arial"/>
          <w:b/>
          <w:color w:val="000000"/>
          <w:sz w:val="26"/>
        </w:rPr>
        <w:t>5. Leadership &amp; Governance</w:t>
      </w:r>
    </w:p>
    <w:tbl>
      <w:tblPr>
        <w:tblW w:type="auto" w:w="0"/>
        <w:jc w:val="center"/>
        <w:tblLook w:firstColumn="1" w:firstRow="1" w:lastColumn="0" w:lastRow="0" w:noHBand="0" w:noVBand="1" w:val="04A0"/>
      </w:tblPr>
      <w:tblGrid>
        <w:gridCol w:w="10454"/>
      </w:tblGrid>
      <w:tr>
        <w:tc>
          <w:tcPr>
            <w:tcW w:type="dxa" w:w="10454"/>
            <w:shd w:fill="DCEAF7"/>
            <w:tcMar>
              <w:top w:w="110" w:type="dxa"/>
              <w:start w:w="130" w:type="dxa"/>
              <w:bottom w:w="110" w:type="dxa"/>
              <w:end w:w="130" w:type="dxa"/>
            </w:tcMar>
          </w:tcPr>
          <w:p>
            <w:r>
              <w:rPr>
                <w:b/>
                <w:color w:val="17324D"/>
                <w:sz w:val="20"/>
              </w:rPr>
              <w:t>LEADERSHIP STRUCTURE</w:t>
              <w:br/>
            </w:r>
            <w:r>
              <w:rPr>
                <w:color w:val="24313A"/>
                <w:sz w:val="18"/>
              </w:rPr>
              <w:t>IFF / Aaron retains reserved authority over overall ministry direction, major financial commitments, appointment or permanent removal of the Lead House Leader, new Ministry Houses, and other major structural decisions. Each house has a Lead House Leader supported by two Ministry Leaders.</w:t>
            </w:r>
          </w:p>
        </w:tc>
      </w:tr>
    </w:tbl>
    <w:p>
      <w:pPr>
        <w:spacing w:after="60" w:before="0" w:line="252" w:lineRule="auto"/>
      </w:pPr>
    </w:p>
    <w:p>
      <w:pPr>
        <w:pStyle w:val="Heading2"/>
        <w:spacing w:before="100" w:after="60"/>
      </w:pPr>
      <w:r>
        <w:rPr>
          <w:rFonts w:ascii="Arial" w:hAnsi="Arial"/>
          <w:b/>
          <w:color w:val="000000"/>
          <w:sz w:val="22"/>
        </w:rPr>
        <w:t>5.1 Roles</w:t>
      </w:r>
    </w:p>
    <w:tbl>
      <w:tblPr>
        <w:tblW w:type="auto" w:w="0"/>
        <w:jc w:val="center"/>
        <w:tblLook w:firstColumn="1" w:firstRow="1" w:lastColumn="0" w:lastRow="0" w:noHBand="0" w:noVBand="1" w:val="04A0"/>
      </w:tblPr>
      <w:tblGrid>
        <w:gridCol w:w="3485"/>
        <w:gridCol w:w="3485"/>
        <w:gridCol w:w="3485"/>
      </w:tblGrid>
      <w:tr>
        <w:tc>
          <w:tcPr>
            <w:tcW w:type="dxa" w:w="3485"/>
            <w:shd w:fill="DCEAF7"/>
          </w:tcPr>
          <w:p>
            <w:pPr>
              <w:spacing w:after="20"/>
            </w:pPr>
            <w:r>
              <w:rPr>
                <w:b/>
                <w:sz w:val="16"/>
              </w:rPr>
              <w:t>Role</w:t>
            </w:r>
          </w:p>
        </w:tc>
        <w:tc>
          <w:tcPr>
            <w:tcW w:type="dxa" w:w="3485"/>
            <w:shd w:fill="DDEFE3"/>
          </w:tcPr>
          <w:p>
            <w:pPr>
              <w:spacing w:after="20"/>
            </w:pPr>
            <w:r>
              <w:rPr>
                <w:b/>
                <w:sz w:val="16"/>
              </w:rPr>
              <w:t>Primary Responsibility</w:t>
            </w:r>
          </w:p>
        </w:tc>
        <w:tc>
          <w:tcPr>
            <w:tcW w:type="dxa" w:w="3485"/>
            <w:shd w:fill="F7EBCB"/>
          </w:tcPr>
          <w:p>
            <w:pPr>
              <w:spacing w:after="20"/>
            </w:pPr>
            <w:r>
              <w:rPr>
                <w:b/>
                <w:sz w:val="16"/>
              </w:rPr>
              <w:t>Authority</w:t>
            </w:r>
          </w:p>
        </w:tc>
      </w:tr>
      <w:tr>
        <w:tc>
          <w:tcPr>
            <w:tcW w:type="dxa" w:w="3485"/>
            <w:tcMar>
              <w:top w:w="70" w:type="dxa"/>
              <w:start w:w="80" w:type="dxa"/>
              <w:bottom w:w="70" w:type="dxa"/>
              <w:end w:w="80" w:type="dxa"/>
            </w:tcMar>
            <w:vAlign w:val="top"/>
          </w:tcPr>
          <w:p>
            <w:pPr>
              <w:spacing w:after="20"/>
            </w:pPr>
            <w:r>
              <w:rPr>
                <w:sz w:val="16"/>
              </w:rPr>
              <w:t>IFF / Aaron</w:t>
            </w:r>
          </w:p>
        </w:tc>
        <w:tc>
          <w:tcPr>
            <w:tcW w:type="dxa" w:w="3485"/>
            <w:tcMar>
              <w:top w:w="70" w:type="dxa"/>
              <w:start w:w="80" w:type="dxa"/>
              <w:bottom w:w="70" w:type="dxa"/>
              <w:end w:w="80" w:type="dxa"/>
            </w:tcMar>
            <w:vAlign w:val="top"/>
          </w:tcPr>
          <w:p>
            <w:pPr>
              <w:spacing w:after="20"/>
            </w:pPr>
            <w:r>
              <w:rPr>
                <w:sz w:val="16"/>
              </w:rPr>
              <w:t>Mission direction, approved ministry priorities, budget, major structural decisions, final accountability.</w:t>
            </w:r>
          </w:p>
        </w:tc>
        <w:tc>
          <w:tcPr>
            <w:tcW w:type="dxa" w:w="3485"/>
            <w:tcMar>
              <w:top w:w="70" w:type="dxa"/>
              <w:start w:w="80" w:type="dxa"/>
              <w:bottom w:w="70" w:type="dxa"/>
              <w:end w:w="80" w:type="dxa"/>
            </w:tcMar>
            <w:vAlign w:val="top"/>
          </w:tcPr>
          <w:p>
            <w:pPr>
              <w:spacing w:after="20"/>
            </w:pPr>
            <w:r>
              <w:rPr>
                <w:sz w:val="16"/>
              </w:rPr>
              <w:t>Reserved approval authority.</w:t>
            </w:r>
          </w:p>
        </w:tc>
      </w:tr>
      <w:tr>
        <w:tc>
          <w:tcPr>
            <w:tcW w:type="dxa" w:w="3485"/>
            <w:tcMar>
              <w:top w:w="70" w:type="dxa"/>
              <w:start w:w="80" w:type="dxa"/>
              <w:bottom w:w="70" w:type="dxa"/>
              <w:end w:w="80" w:type="dxa"/>
            </w:tcMar>
            <w:vAlign w:val="top"/>
          </w:tcPr>
          <w:p>
            <w:pPr>
              <w:spacing w:after="20"/>
            </w:pPr>
            <w:r>
              <w:rPr>
                <w:sz w:val="16"/>
              </w:rPr>
              <w:t>Lead House Leader</w:t>
            </w:r>
          </w:p>
        </w:tc>
        <w:tc>
          <w:tcPr>
            <w:tcW w:type="dxa" w:w="3485"/>
            <w:tcMar>
              <w:top w:w="70" w:type="dxa"/>
              <w:start w:w="80" w:type="dxa"/>
              <w:bottom w:w="70" w:type="dxa"/>
              <w:end w:w="80" w:type="dxa"/>
            </w:tcMar>
            <w:vAlign w:val="top"/>
          </w:tcPr>
          <w:p>
            <w:pPr>
              <w:spacing w:after="20"/>
            </w:pPr>
            <w:r>
              <w:rPr>
                <w:sz w:val="16"/>
              </w:rPr>
              <w:t>Day-to-day operation of the house, schedule, ministry coordination, ordinary discipline, approved spending and reporting.</w:t>
            </w:r>
          </w:p>
        </w:tc>
        <w:tc>
          <w:tcPr>
            <w:tcW w:type="dxa" w:w="3485"/>
            <w:tcMar>
              <w:top w:w="70" w:type="dxa"/>
              <w:start w:w="80" w:type="dxa"/>
              <w:bottom w:w="70" w:type="dxa"/>
              <w:end w:w="80" w:type="dxa"/>
            </w:tcMar>
            <w:vAlign w:val="top"/>
          </w:tcPr>
          <w:p>
            <w:pPr>
              <w:spacing w:after="20"/>
            </w:pPr>
            <w:r>
              <w:rPr>
                <w:sz w:val="16"/>
              </w:rPr>
              <w:t>Final say on routine daily matters within approved policy/budget.</w:t>
            </w:r>
          </w:p>
        </w:tc>
      </w:tr>
      <w:tr>
        <w:tc>
          <w:tcPr>
            <w:tcW w:type="dxa" w:w="3485"/>
            <w:tcMar>
              <w:top w:w="70" w:type="dxa"/>
              <w:start w:w="80" w:type="dxa"/>
              <w:bottom w:w="70" w:type="dxa"/>
              <w:end w:w="80" w:type="dxa"/>
            </w:tcMar>
            <w:vAlign w:val="top"/>
          </w:tcPr>
          <w:p>
            <w:pPr>
              <w:spacing w:after="20"/>
            </w:pPr>
            <w:r>
              <w:rPr>
                <w:sz w:val="16"/>
              </w:rPr>
              <w:t>Two Ministry Leaders</w:t>
            </w:r>
          </w:p>
        </w:tc>
        <w:tc>
          <w:tcPr>
            <w:tcW w:type="dxa" w:w="3485"/>
            <w:tcMar>
              <w:top w:w="70" w:type="dxa"/>
              <w:start w:w="80" w:type="dxa"/>
              <w:bottom w:w="70" w:type="dxa"/>
              <w:end w:w="80" w:type="dxa"/>
            </w:tcMar>
            <w:vAlign w:val="top"/>
          </w:tcPr>
          <w:p>
            <w:pPr>
              <w:spacing w:after="20"/>
            </w:pPr>
            <w:r>
              <w:rPr>
                <w:sz w:val="16"/>
              </w:rPr>
              <w:t>Help lead ministry, disciple participants, share oversight, provide accountability and participate in significant decisions.</w:t>
            </w:r>
          </w:p>
        </w:tc>
        <w:tc>
          <w:tcPr>
            <w:tcW w:type="dxa" w:w="3485"/>
            <w:tcMar>
              <w:top w:w="70" w:type="dxa"/>
              <w:start w:w="80" w:type="dxa"/>
              <w:bottom w:w="70" w:type="dxa"/>
              <w:end w:w="80" w:type="dxa"/>
            </w:tcMar>
            <w:vAlign w:val="top"/>
          </w:tcPr>
          <w:p>
            <w:pPr>
              <w:spacing w:after="20"/>
            </w:pPr>
            <w:r>
              <w:rPr>
                <w:sz w:val="16"/>
              </w:rPr>
              <w:t>Real leadership authority; majority vote on significant matters.</w:t>
            </w:r>
          </w:p>
        </w:tc>
      </w:tr>
    </w:tbl>
    <w:p>
      <w:pPr>
        <w:pStyle w:val="Heading2"/>
        <w:spacing w:before="100" w:after="60"/>
      </w:pPr>
      <w:r>
        <w:rPr>
          <w:rFonts w:ascii="Arial" w:hAnsi="Arial"/>
          <w:b/>
          <w:color w:val="000000"/>
          <w:sz w:val="22"/>
        </w:rPr>
        <w:t>5.2 Decision Levels</w:t>
      </w:r>
    </w:p>
    <w:p>
      <w:pPr>
        <w:pStyle w:val="ListBullet"/>
        <w:spacing w:after="60" w:before="0" w:line="252" w:lineRule="auto"/>
        <w:ind w:left="259" w:hanging="173"/>
      </w:pPr>
      <w:r>
        <w:rPr>
          <w:rFonts w:ascii="Arial" w:hAnsi="Arial"/>
          <w:b/>
          <w:color w:val="000000"/>
          <w:sz w:val="19"/>
        </w:rPr>
        <w:t xml:space="preserve">Routine day-to-day decisions - Lead House Leader. </w:t>
      </w:r>
      <w:r>
        <w:rPr>
          <w:rFonts w:ascii="Arial" w:hAnsi="Arial"/>
          <w:color w:val="000000"/>
          <w:sz w:val="19"/>
        </w:rPr>
        <w:t>Daily schedule adjustments, assignments, transportation, meals, ordinary house routines, minor conflicts, and routine spending already within the approved budget.</w:t>
      </w:r>
    </w:p>
    <w:p>
      <w:pPr>
        <w:pStyle w:val="ListBullet"/>
        <w:spacing w:after="60" w:before="0" w:line="252" w:lineRule="auto"/>
        <w:ind w:left="259" w:hanging="173"/>
      </w:pPr>
      <w:r>
        <w:rPr>
          <w:rFonts w:ascii="Arial" w:hAnsi="Arial"/>
          <w:b/>
          <w:color w:val="000000"/>
          <w:sz w:val="19"/>
        </w:rPr>
        <w:t xml:space="preserve">Significant decisions - Majority of the three local leaders. </w:t>
      </w:r>
      <w:r>
        <w:rPr>
          <w:rFonts w:ascii="Arial" w:hAnsi="Arial"/>
          <w:color w:val="000000"/>
          <w:sz w:val="19"/>
        </w:rPr>
        <w:t>Admission, formal discipline, significant program changes, participant disputes, and recommendations for removal.</w:t>
      </w:r>
    </w:p>
    <w:p>
      <w:pPr>
        <w:pStyle w:val="ListBullet"/>
        <w:spacing w:after="60" w:before="0" w:line="252" w:lineRule="auto"/>
        <w:ind w:left="259" w:hanging="173"/>
      </w:pPr>
      <w:r>
        <w:rPr>
          <w:rFonts w:ascii="Arial" w:hAnsi="Arial"/>
          <w:b/>
          <w:color w:val="000000"/>
          <w:sz w:val="19"/>
        </w:rPr>
        <w:t xml:space="preserve">Reserved / major decisions - IFF approval. </w:t>
      </w:r>
      <w:r>
        <w:rPr>
          <w:rFonts w:ascii="Arial" w:hAnsi="Arial"/>
          <w:color w:val="000000"/>
          <w:sz w:val="19"/>
        </w:rPr>
        <w:t>Appointment or permanent removal of the Lead House Leader, new Ministry Houses, major changes in ministry direction, contracts/leases/assets, major financial commitments, or activities outside approved ministry priorities/budget.</w:t>
      </w:r>
    </w:p>
    <w:p>
      <w:pPr>
        <w:pStyle w:val="Heading2"/>
        <w:spacing w:before="100" w:after="60"/>
      </w:pPr>
      <w:r>
        <w:rPr>
          <w:rFonts w:ascii="Arial" w:hAnsi="Arial"/>
          <w:b/>
          <w:color w:val="000000"/>
          <w:sz w:val="22"/>
        </w:rPr>
        <w:t>5.3 Leadership Appointment &amp; Development</w:t>
      </w:r>
    </w:p>
    <w:p>
      <w:pPr>
        <w:spacing w:before="0" w:after="60" w:line="252" w:lineRule="auto"/>
      </w:pPr>
      <w:r>
        <w:rPr>
          <w:rFonts w:ascii="Arial" w:hAnsi="Arial"/>
          <w:color w:val="000000"/>
          <w:sz w:val="19"/>
        </w:rPr>
        <w:t>Existing leaders should identify, disciple, and develop potential future leaders. Formal leadership appointments require IFF approval. A normal development path may be Participant -&gt; Experienced Participant -&gt; Ministry Responsibility -&gt; Ministry Leader -&gt; Lead House Leader.</w:t>
      </w:r>
    </w:p>
    <w:p>
      <w:pPr>
        <w:pStyle w:val="Heading2"/>
        <w:spacing w:before="100" w:after="60"/>
      </w:pPr>
      <w:r>
        <w:rPr>
          <w:rFonts w:ascii="Arial" w:hAnsi="Arial"/>
          <w:b/>
          <w:color w:val="000000"/>
          <w:sz w:val="22"/>
        </w:rPr>
        <w:t>5.4 Removing or Suspending a Leader</w:t>
      </w:r>
    </w:p>
    <w:p>
      <w:pPr>
        <w:pStyle w:val="ListBullet"/>
        <w:spacing w:after="60" w:before="0" w:line="252" w:lineRule="auto"/>
        <w:ind w:left="259" w:hanging="173"/>
      </w:pPr>
      <w:r>
        <w:rPr>
          <w:rFonts w:ascii="Arial" w:hAnsi="Arial"/>
          <w:color w:val="000000"/>
          <w:sz w:val="19"/>
        </w:rPr>
        <w:t>Leadership status does not protect a person from correction or discipline.</w:t>
      </w:r>
    </w:p>
    <w:p>
      <w:pPr>
        <w:pStyle w:val="ListBullet"/>
        <w:spacing w:after="60" w:before="0" w:line="252" w:lineRule="auto"/>
        <w:ind w:left="259" w:hanging="173"/>
      </w:pPr>
      <w:r>
        <w:rPr>
          <w:rFonts w:ascii="Arial" w:hAnsi="Arial"/>
          <w:color w:val="000000"/>
          <w:sz w:val="19"/>
        </w:rPr>
        <w:t>If one of three leaders is the subject of a serious leadership concern, the other two leaders may unanimously recommend his removal to IFF.</w:t>
      </w:r>
    </w:p>
    <w:p>
      <w:pPr>
        <w:pStyle w:val="ListBullet"/>
        <w:spacing w:after="60" w:before="0" w:line="252" w:lineRule="auto"/>
        <w:ind w:left="259" w:hanging="173"/>
      </w:pPr>
      <w:r>
        <w:rPr>
          <w:rFonts w:ascii="Arial" w:hAnsi="Arial"/>
          <w:color w:val="000000"/>
          <w:sz w:val="19"/>
        </w:rPr>
        <w:t>The other two leaders may temporarily suspend the leader's local authority when immediate action is reasonably necessary for safety, safeguarding, financial integrity, or protection of the ministry, pending IFF review.</w:t>
      </w:r>
    </w:p>
    <w:p>
      <w:pPr>
        <w:pStyle w:val="ListBullet"/>
        <w:spacing w:after="60" w:before="0" w:line="252" w:lineRule="auto"/>
        <w:ind w:left="259" w:hanging="173"/>
      </w:pPr>
      <w:r>
        <w:rPr>
          <w:rFonts w:ascii="Arial" w:hAnsi="Arial"/>
          <w:color w:val="000000"/>
          <w:sz w:val="19"/>
        </w:rPr>
        <w:t>IFF retains final authority for permanent removal of the Lead House Leader and may remove or reassign other leaders when necessary.</w:t>
      </w:r>
    </w:p>
    <w:p>
      <w:pPr>
        <w:pStyle w:val="ListBullet"/>
        <w:spacing w:after="60" w:before="0" w:line="252" w:lineRule="auto"/>
        <w:ind w:left="259" w:hanging="173"/>
      </w:pPr>
      <w:r>
        <w:rPr>
          <w:rFonts w:ascii="Arial" w:hAnsi="Arial"/>
          <w:color w:val="000000"/>
          <w:sz w:val="19"/>
        </w:rPr>
        <w:t>A leader must not participate in deciding his own disciplinary outcome where a conflict of interest exists.</w:t>
      </w:r>
    </w:p>
    <w:p>
      <w:pPr>
        <w:pStyle w:val="Heading2"/>
        <w:spacing w:before="100" w:after="60"/>
      </w:pPr>
      <w:r>
        <w:rPr>
          <w:rFonts w:ascii="Arial" w:hAnsi="Arial"/>
          <w:b/>
          <w:color w:val="000000"/>
          <w:sz w:val="22"/>
        </w:rPr>
        <w:t>5.5 Reporting Leadership Concerns</w:t>
      </w:r>
    </w:p>
    <w:p>
      <w:pPr>
        <w:spacing w:before="0" w:after="60" w:line="252" w:lineRule="auto"/>
      </w:pPr>
      <w:r>
        <w:rPr>
          <w:rFonts w:ascii="Arial" w:hAnsi="Arial"/>
          <w:color w:val="000000"/>
          <w:sz w:val="19"/>
        </w:rPr>
        <w:t>Participants may report concerns to any leader. If the concern involves the Lead House Leader, the participant may report directly to another Ministry Leader or to IFF. Allegations involving abuse, safeguarding, serious financial misconduct, sexual misconduct, violence, retaliation, or serious dishonesty may be escalated directly to IFF.</w:t>
      </w:r>
    </w:p>
    <w:p>
      <w:pPr>
        <w:pStyle w:val="Heading1"/>
        <w:spacing w:before="160" w:after="80"/>
      </w:pPr>
      <w:r>
        <w:rPr>
          <w:rFonts w:ascii="Arial" w:hAnsi="Arial"/>
          <w:b/>
          <w:color w:val="000000"/>
          <w:sz w:val="26"/>
        </w:rPr>
        <w:t>6. Financial &amp; Ministry Operations</w:t>
      </w:r>
    </w:p>
    <w:p>
      <w:pPr>
        <w:pStyle w:val="Heading2"/>
        <w:spacing w:before="100" w:after="60"/>
      </w:pPr>
      <w:r>
        <w:rPr>
          <w:rFonts w:ascii="Arial" w:hAnsi="Arial"/>
          <w:b/>
          <w:color w:val="000000"/>
          <w:sz w:val="22"/>
        </w:rPr>
        <w:t>6.1 Ministry Direction &amp; Budget</w:t>
      </w:r>
    </w:p>
    <w:p>
      <w:pPr>
        <w:spacing w:before="0" w:after="60" w:line="252" w:lineRule="auto"/>
      </w:pPr>
      <w:r>
        <w:rPr>
          <w:rFonts w:ascii="Arial" w:hAnsi="Arial"/>
          <w:color w:val="000000"/>
          <w:sz w:val="19"/>
        </w:rPr>
        <w:t>IFF approves overall ministry priorities and the ministry budget. Local leadership determines daily execution within those approved priorities. Approval of a ministry category does not require IFF to approve every ordinary visit or schedule decision.</w:t>
      </w:r>
    </w:p>
    <w:p>
      <w:pPr>
        <w:pStyle w:val="Heading2"/>
        <w:spacing w:before="100" w:after="60"/>
      </w:pPr>
      <w:r>
        <w:rPr>
          <w:rFonts w:ascii="Arial" w:hAnsi="Arial"/>
          <w:b/>
          <w:color w:val="000000"/>
          <w:sz w:val="22"/>
        </w:rPr>
        <w:t>6.2 Funds &amp; Expense Accountability</w:t>
      </w:r>
    </w:p>
    <w:p>
      <w:pPr>
        <w:pStyle w:val="ListBullet"/>
        <w:spacing w:after="60" w:before="0" w:line="252" w:lineRule="auto"/>
        <w:ind w:left="259" w:hanging="173"/>
      </w:pPr>
      <w:r>
        <w:rPr>
          <w:rFonts w:ascii="Arial" w:hAnsi="Arial"/>
          <w:color w:val="000000"/>
          <w:sz w:val="19"/>
        </w:rPr>
        <w:t>IFF transfers ministry funds only to the designated main leader unless IFF specifically approves another arrangement.</w:t>
      </w:r>
    </w:p>
    <w:p>
      <w:pPr>
        <w:pStyle w:val="ListBullet"/>
        <w:spacing w:after="60" w:before="0" w:line="252" w:lineRule="auto"/>
        <w:ind w:left="259" w:hanging="173"/>
      </w:pPr>
      <w:r>
        <w:rPr>
          <w:rFonts w:ascii="Arial" w:hAnsi="Arial"/>
          <w:color w:val="000000"/>
          <w:sz w:val="19"/>
        </w:rPr>
        <w:t>The designated leader maintains a simple expense record showing date, purpose, amount, recipient/vendor, and available evidence.</w:t>
      </w:r>
    </w:p>
    <w:p>
      <w:pPr>
        <w:pStyle w:val="ListBullet"/>
        <w:spacing w:after="60" w:before="0" w:line="252" w:lineRule="auto"/>
        <w:ind w:left="259" w:hanging="173"/>
      </w:pPr>
      <w:r>
        <w:rPr>
          <w:rFonts w:ascii="Arial" w:hAnsi="Arial"/>
          <w:color w:val="000000"/>
          <w:sz w:val="19"/>
        </w:rPr>
        <w:t>Receipts are required whenever reasonably available. When a receipt cannot reasonably be obtained, the leader records a written explanation and other available evidence.</w:t>
      </w:r>
    </w:p>
    <w:p>
      <w:pPr>
        <w:pStyle w:val="ListBullet"/>
        <w:spacing w:after="60" w:before="0" w:line="252" w:lineRule="auto"/>
        <w:ind w:left="259" w:hanging="173"/>
      </w:pPr>
      <w:r>
        <w:rPr>
          <w:rFonts w:ascii="Arial" w:hAnsi="Arial"/>
          <w:color w:val="000000"/>
          <w:sz w:val="19"/>
        </w:rPr>
        <w:t>Small changes within approved monthly categories may be made by the designated leader. New programs, significant purchases, or spending outside approved categories require IFF approval.</w:t>
      </w:r>
    </w:p>
    <w:p>
      <w:pPr>
        <w:pStyle w:val="ListBullet"/>
        <w:spacing w:after="60" w:before="0" w:line="252" w:lineRule="auto"/>
        <w:ind w:left="259" w:hanging="173"/>
      </w:pPr>
      <w:r>
        <w:rPr>
          <w:rFonts w:ascii="Arial" w:hAnsi="Arial"/>
          <w:color w:val="000000"/>
          <w:sz w:val="19"/>
        </w:rPr>
        <w:t>Participants may not independently commit IFF or Discipleship in Action to expenses or make promises of financial assistance.</w:t>
      </w:r>
    </w:p>
    <w:p>
      <w:pPr>
        <w:pStyle w:val="Heading2"/>
        <w:spacing w:before="100" w:after="60"/>
      </w:pPr>
      <w:r>
        <w:rPr>
          <w:rFonts w:ascii="Arial" w:hAnsi="Arial"/>
          <w:b/>
          <w:color w:val="000000"/>
          <w:sz w:val="22"/>
        </w:rPr>
        <w:t>6.3 Donations, Gifts &amp; Personal Financial Boundaries</w:t>
      </w:r>
    </w:p>
    <w:p>
      <w:pPr>
        <w:pStyle w:val="ListBullet"/>
        <w:spacing w:after="60" w:before="0" w:line="252" w:lineRule="auto"/>
        <w:ind w:left="259" w:hanging="173"/>
      </w:pPr>
      <w:r>
        <w:rPr>
          <w:rFonts w:ascii="Arial" w:hAnsi="Arial"/>
          <w:color w:val="000000"/>
          <w:sz w:val="19"/>
        </w:rPr>
        <w:t>Participants may not collect donations in the ministry's name, personally hold ministry donations, or solicit IFF donors without authorization.</w:t>
      </w:r>
    </w:p>
    <w:p>
      <w:pPr>
        <w:pStyle w:val="ListBullet"/>
        <w:spacing w:after="60" w:before="0" w:line="252" w:lineRule="auto"/>
        <w:ind w:left="259" w:hanging="173"/>
      </w:pPr>
      <w:r>
        <w:rPr>
          <w:rFonts w:ascii="Arial" w:hAnsi="Arial"/>
          <w:color w:val="000000"/>
          <w:sz w:val="19"/>
        </w:rPr>
        <w:t>Participants may not borrow money from people or families being served.</w:t>
      </w:r>
    </w:p>
    <w:p>
      <w:pPr>
        <w:pStyle w:val="ListBullet"/>
        <w:spacing w:after="60" w:before="0" w:line="252" w:lineRule="auto"/>
        <w:ind w:left="259" w:hanging="173"/>
      </w:pPr>
      <w:r>
        <w:rPr>
          <w:rFonts w:ascii="Arial" w:hAnsi="Arial"/>
          <w:color w:val="000000"/>
          <w:sz w:val="19"/>
        </w:rPr>
        <w:t>Substantial personal gifts from beneficiaries should be disclosed to leadership; gifts intended for the ministry must be reported and handled through approved ministry procedures.</w:t>
      </w:r>
    </w:p>
    <w:p>
      <w:pPr>
        <w:pStyle w:val="ListBullet"/>
        <w:spacing w:after="60" w:before="0" w:line="252" w:lineRule="auto"/>
        <w:ind w:left="259" w:hanging="173"/>
      </w:pPr>
      <w:r>
        <w:rPr>
          <w:rFonts w:ascii="Arial" w:hAnsi="Arial"/>
          <w:color w:val="000000"/>
          <w:sz w:val="19"/>
        </w:rPr>
        <w:t>No participant may use ministry relationships for personal business, financial gain, or improper influence.</w:t>
      </w:r>
    </w:p>
    <w:p>
      <w:pPr>
        <w:pStyle w:val="Heading1"/>
        <w:spacing w:before="160" w:after="80"/>
      </w:pPr>
      <w:r>
        <w:rPr>
          <w:rFonts w:ascii="Arial" w:hAnsi="Arial"/>
          <w:b/>
          <w:color w:val="000000"/>
          <w:sz w:val="26"/>
        </w:rPr>
        <w:t>7. Ministry Conduct &amp; Authority</w:t>
      </w:r>
    </w:p>
    <w:p>
      <w:pPr>
        <w:pStyle w:val="ListBullet"/>
        <w:spacing w:after="60" w:before="0" w:line="252" w:lineRule="auto"/>
        <w:ind w:left="259" w:hanging="173"/>
      </w:pPr>
      <w:r>
        <w:rPr>
          <w:rFonts w:ascii="Arial" w:hAnsi="Arial"/>
          <w:color w:val="000000"/>
          <w:sz w:val="19"/>
        </w:rPr>
        <w:t>Participants represent Discipleship in Action respectfully and truthfully.</w:t>
      </w:r>
    </w:p>
    <w:p>
      <w:pPr>
        <w:pStyle w:val="ListBullet"/>
        <w:spacing w:after="60" w:before="0" w:line="252" w:lineRule="auto"/>
        <w:ind w:left="259" w:hanging="173"/>
      </w:pPr>
      <w:r>
        <w:rPr>
          <w:rFonts w:ascii="Arial" w:hAnsi="Arial"/>
          <w:color w:val="000000"/>
          <w:sz w:val="19"/>
        </w:rPr>
        <w:t>No participant may promise that IFF will free a family, pay a debt, provide housing, fund a project, hire someone, or provide other assistance unless authorized.</w:t>
      </w:r>
    </w:p>
    <w:p>
      <w:pPr>
        <w:pStyle w:val="ListBullet"/>
        <w:spacing w:after="60" w:before="0" w:line="252" w:lineRule="auto"/>
        <w:ind w:left="259" w:hanging="173"/>
      </w:pPr>
      <w:r>
        <w:rPr>
          <w:rFonts w:ascii="Arial" w:hAnsi="Arial"/>
          <w:color w:val="000000"/>
          <w:sz w:val="19"/>
        </w:rPr>
        <w:t>Participants follow the direction of the ministry leader responsible for an activity.</w:t>
      </w:r>
    </w:p>
    <w:p>
      <w:pPr>
        <w:pStyle w:val="ListBullet"/>
        <w:spacing w:after="60" w:before="0" w:line="252" w:lineRule="auto"/>
        <w:ind w:left="259" w:hanging="173"/>
      </w:pPr>
      <w:r>
        <w:rPr>
          <w:rFonts w:ascii="Arial" w:hAnsi="Arial"/>
          <w:color w:val="000000"/>
          <w:sz w:val="19"/>
        </w:rPr>
        <w:t>Participants do not use spiritual authority, financial need, or a vulnerable person's dependence to manipulate or control anyone.</w:t>
      </w:r>
    </w:p>
    <w:p>
      <w:pPr>
        <w:pStyle w:val="ListBullet"/>
        <w:spacing w:after="60" w:before="0" w:line="252" w:lineRule="auto"/>
        <w:ind w:left="259" w:hanging="173"/>
      </w:pPr>
      <w:r>
        <w:rPr>
          <w:rFonts w:ascii="Arial" w:hAnsi="Arial"/>
          <w:color w:val="000000"/>
          <w:sz w:val="19"/>
        </w:rPr>
        <w:t>Ministry should respect personal dignity, confidentiality, safety, and voluntary participation.</w:t>
      </w:r>
    </w:p>
    <w:p>
      <w:pPr>
        <w:pStyle w:val="ListBullet"/>
        <w:spacing w:after="60" w:before="0" w:line="252" w:lineRule="auto"/>
        <w:ind w:left="259" w:hanging="173"/>
      </w:pPr>
      <w:r>
        <w:rPr>
          <w:rFonts w:ascii="Arial" w:hAnsi="Arial"/>
          <w:color w:val="000000"/>
          <w:sz w:val="19"/>
        </w:rPr>
        <w:t>Home-church development should generally follow: model -&gt; involve -&gt; train -&gt; step back, with the goal of developing local believers who can lead and disciple others.</w:t>
      </w:r>
    </w:p>
    <w:p>
      <w:pPr>
        <w:pStyle w:val="Heading1"/>
        <w:spacing w:before="160" w:after="80"/>
      </w:pPr>
      <w:r>
        <w:rPr>
          <w:rFonts w:ascii="Arial" w:hAnsi="Arial"/>
          <w:b/>
          <w:color w:val="000000"/>
          <w:sz w:val="26"/>
        </w:rPr>
        <w:t>8. Personal Conduct &amp; House Standards</w:t>
      </w:r>
    </w:p>
    <w:p>
      <w:pPr>
        <w:pStyle w:val="ListBullet"/>
        <w:spacing w:after="60" w:before="0" w:line="252" w:lineRule="auto"/>
        <w:ind w:left="259" w:hanging="173"/>
      </w:pPr>
      <w:r>
        <w:rPr>
          <w:rFonts w:ascii="Arial" w:hAnsi="Arial"/>
          <w:color w:val="000000"/>
          <w:sz w:val="19"/>
        </w:rPr>
        <w:t>Treat other residents, leaders, beneficiaries, churches, and community members with dignity and respect.</w:t>
      </w:r>
    </w:p>
    <w:p>
      <w:pPr>
        <w:pStyle w:val="ListBullet"/>
        <w:spacing w:after="60" w:before="0" w:line="252" w:lineRule="auto"/>
        <w:ind w:left="259" w:hanging="173"/>
      </w:pPr>
      <w:r>
        <w:rPr>
          <w:rFonts w:ascii="Arial" w:hAnsi="Arial"/>
          <w:color w:val="000000"/>
          <w:sz w:val="19"/>
        </w:rPr>
        <w:t>No violence, credible threats, bullying, harassment, theft, fraud, deliberate serious deception, or retaliation.</w:t>
      </w:r>
    </w:p>
    <w:p>
      <w:pPr>
        <w:pStyle w:val="ListBullet"/>
        <w:spacing w:after="60" w:before="0" w:line="252" w:lineRule="auto"/>
        <w:ind w:left="259" w:hanging="173"/>
      </w:pPr>
      <w:r>
        <w:rPr>
          <w:rFonts w:ascii="Arial" w:hAnsi="Arial"/>
          <w:color w:val="000000"/>
          <w:sz w:val="19"/>
        </w:rPr>
        <w:t>Illegal drugs are prohibited. Intoxication is prohibited. Alcohol is not permitted in the Ministry House or during ministry activities.</w:t>
      </w:r>
    </w:p>
    <w:p>
      <w:pPr>
        <w:pStyle w:val="ListBullet"/>
        <w:spacing w:after="60" w:before="0" w:line="252" w:lineRule="auto"/>
        <w:ind w:left="259" w:hanging="173"/>
      </w:pPr>
      <w:r>
        <w:rPr>
          <w:rFonts w:ascii="Arial" w:hAnsi="Arial"/>
          <w:color w:val="000000"/>
          <w:sz w:val="19"/>
        </w:rPr>
        <w:t>Smoking/tobacco may be restricted to designated situations/areas and must not interfere with ministry, safety, or house expectations.</w:t>
      </w:r>
    </w:p>
    <w:p>
      <w:pPr>
        <w:pStyle w:val="ListBullet"/>
        <w:spacing w:after="60" w:before="0" w:line="252" w:lineRule="auto"/>
        <w:ind w:left="259" w:hanging="173"/>
      </w:pPr>
      <w:r>
        <w:rPr>
          <w:rFonts w:ascii="Arial" w:hAnsi="Arial"/>
          <w:color w:val="000000"/>
          <w:sz w:val="19"/>
        </w:rPr>
        <w:t>Pornography and sexual activity are not permitted between residents or within the single-sex Ministry House. Married couples are the only residential exception and must have separately approved accommodation.</w:t>
      </w:r>
    </w:p>
    <w:p>
      <w:pPr>
        <w:pStyle w:val="ListBullet"/>
        <w:spacing w:after="60" w:before="0" w:line="252" w:lineRule="auto"/>
        <w:ind w:left="259" w:hanging="173"/>
      </w:pPr>
      <w:r>
        <w:rPr>
          <w:rFonts w:ascii="Arial" w:hAnsi="Arial"/>
          <w:color w:val="000000"/>
          <w:sz w:val="19"/>
        </w:rPr>
        <w:t>The residential house is single-sex. Married couples are handled through separately approved accommodation.</w:t>
      </w:r>
    </w:p>
    <w:p>
      <w:pPr>
        <w:pStyle w:val="ListBullet"/>
        <w:spacing w:after="60" w:before="0" w:line="252" w:lineRule="auto"/>
        <w:ind w:left="259" w:hanging="173"/>
      </w:pPr>
      <w:r>
        <w:rPr>
          <w:rFonts w:ascii="Arial" w:hAnsi="Arial"/>
          <w:color w:val="000000"/>
          <w:sz w:val="19"/>
        </w:rPr>
        <w:t>Phones and internet should not interfere with prayer, teaching, ministry, assigned responsibilities, or relationships. Leadership may address misuse individually rather than imposing arbitrary screen-time rules.</w:t>
      </w:r>
    </w:p>
    <w:p>
      <w:pPr>
        <w:pStyle w:val="ListBullet"/>
        <w:spacing w:after="60" w:before="0" w:line="252" w:lineRule="auto"/>
        <w:ind w:left="259" w:hanging="173"/>
      </w:pPr>
      <w:r>
        <w:rPr>
          <w:rFonts w:ascii="Arial" w:hAnsi="Arial"/>
          <w:color w:val="000000"/>
          <w:sz w:val="19"/>
        </w:rPr>
        <w:t>Weapons are not permitted in the Ministry House or ministry activities unless specifically authorized for a legitimate purpose. Threatening someone with a weapon triggers immediate safety intervention.</w:t>
      </w:r>
    </w:p>
    <w:p>
      <w:pPr>
        <w:pStyle w:val="Heading1"/>
        <w:spacing w:before="160" w:after="80"/>
      </w:pPr>
      <w:r>
        <w:rPr>
          <w:rFonts w:ascii="Arial" w:hAnsi="Arial"/>
          <w:b/>
          <w:color w:val="000000"/>
          <w:sz w:val="26"/>
        </w:rPr>
        <w:t>9. Safeguarding Children &amp; Vulnerable People</w:t>
      </w:r>
    </w:p>
    <w:tbl>
      <w:tblPr>
        <w:tblW w:type="auto" w:w="0"/>
        <w:jc w:val="center"/>
        <w:tblLook w:firstColumn="1" w:firstRow="1" w:lastColumn="0" w:lastRow="0" w:noHBand="0" w:noVBand="1" w:val="04A0"/>
      </w:tblPr>
      <w:tblGrid>
        <w:gridCol w:w="10454"/>
      </w:tblGrid>
      <w:tr>
        <w:tc>
          <w:tcPr>
            <w:tcW w:type="dxa" w:w="10454"/>
            <w:shd w:fill="F4E0DD"/>
            <w:tcMar>
              <w:top w:w="110" w:type="dxa"/>
              <w:start w:w="130" w:type="dxa"/>
              <w:bottom w:w="110" w:type="dxa"/>
              <w:end w:w="130" w:type="dxa"/>
            </w:tcMar>
          </w:tcPr>
          <w:p>
            <w:r>
              <w:rPr>
                <w:b/>
                <w:color w:val="17324D"/>
                <w:sz w:val="20"/>
              </w:rPr>
              <w:t>SAFEGUARDING PRIORITY</w:t>
              <w:br/>
            </w:r>
            <w:r>
              <w:rPr>
                <w:color w:val="24313A"/>
                <w:sz w:val="18"/>
              </w:rPr>
              <w:t>Protecting children, bonded-labor families, freed families, widows, orphans, economically vulnerable people, and other beneficiaries takes priority over convenience, publicity, or ministry content.</w:t>
            </w:r>
          </w:p>
        </w:tc>
      </w:tr>
    </w:tbl>
    <w:p>
      <w:pPr>
        <w:spacing w:after="60" w:before="0" w:line="252" w:lineRule="auto"/>
      </w:pPr>
    </w:p>
    <w:p>
      <w:pPr>
        <w:pStyle w:val="ListBullet"/>
        <w:spacing w:after="60" w:before="0" w:line="252" w:lineRule="auto"/>
        <w:ind w:left="259" w:hanging="173"/>
      </w:pPr>
      <w:r>
        <w:rPr>
          <w:rFonts w:ascii="Arial" w:hAnsi="Arial"/>
          <w:color w:val="000000"/>
          <w:sz w:val="19"/>
        </w:rPr>
        <w:t>Avoid being alone with a child when reasonably possible; ministry should use observable and accountable settings.</w:t>
      </w:r>
    </w:p>
    <w:p>
      <w:pPr>
        <w:pStyle w:val="ListBullet"/>
        <w:spacing w:after="60" w:before="0" w:line="252" w:lineRule="auto"/>
        <w:ind w:left="259" w:hanging="173"/>
      </w:pPr>
      <w:r>
        <w:rPr>
          <w:rFonts w:ascii="Arial" w:hAnsi="Arial"/>
          <w:color w:val="000000"/>
          <w:sz w:val="19"/>
        </w:rPr>
        <w:t>No corporal punishment, sexualized communication, grooming behavior, inappropriate physical contact, or exploitative relationship.</w:t>
      </w:r>
    </w:p>
    <w:p>
      <w:pPr>
        <w:pStyle w:val="ListBullet"/>
        <w:spacing w:after="60" w:before="0" w:line="252" w:lineRule="auto"/>
        <w:ind w:left="259" w:hanging="173"/>
      </w:pPr>
      <w:r>
        <w:rPr>
          <w:rFonts w:ascii="Arial" w:hAnsi="Arial"/>
          <w:color w:val="000000"/>
          <w:sz w:val="19"/>
        </w:rPr>
        <w:t>Do not privately transport a child without appropriate authorization and safeguards.</w:t>
      </w:r>
    </w:p>
    <w:p>
      <w:pPr>
        <w:pStyle w:val="ListBullet"/>
        <w:spacing w:after="60" w:before="0" w:line="252" w:lineRule="auto"/>
        <w:ind w:left="259" w:hanging="173"/>
      </w:pPr>
      <w:r>
        <w:rPr>
          <w:rFonts w:ascii="Arial" w:hAnsi="Arial"/>
          <w:color w:val="000000"/>
          <w:sz w:val="19"/>
        </w:rPr>
        <w:t>Suspected abuse, exploitation, trafficking, serious neglect, or immediate danger must be reported promptly through the safeguarding/leadership escalation process and to appropriate authorities where required.</w:t>
      </w:r>
    </w:p>
    <w:p>
      <w:pPr>
        <w:pStyle w:val="ListBullet"/>
        <w:spacing w:after="60" w:before="0" w:line="252" w:lineRule="auto"/>
        <w:ind w:left="259" w:hanging="173"/>
      </w:pPr>
      <w:r>
        <w:rPr>
          <w:rFonts w:ascii="Arial" w:hAnsi="Arial"/>
          <w:color w:val="000000"/>
          <w:sz w:val="19"/>
        </w:rPr>
        <w:t>Participants may not pursue sexual or exploitative relationships with children or use ministry relationships with vulnerable beneficiaries for sex, money, gifts, influence, or personal advantage.</w:t>
      </w:r>
    </w:p>
    <w:p>
      <w:pPr>
        <w:pStyle w:val="ListBullet"/>
        <w:spacing w:after="60" w:before="0" w:line="252" w:lineRule="auto"/>
        <w:ind w:left="259" w:hanging="173"/>
      </w:pPr>
      <w:r>
        <w:rPr>
          <w:rFonts w:ascii="Arial" w:hAnsi="Arial"/>
          <w:color w:val="000000"/>
          <w:sz w:val="19"/>
        </w:rPr>
        <w:t>Photography, video, names, stories, and identifying information involving children or vulnerable families require appropriate permission and must follow ministry privacy/security guidance.</w:t>
      </w:r>
    </w:p>
    <w:p>
      <w:pPr>
        <w:pStyle w:val="ListBullet"/>
        <w:spacing w:after="60" w:before="0" w:line="252" w:lineRule="auto"/>
        <w:ind w:left="259" w:hanging="173"/>
      </w:pPr>
      <w:r>
        <w:rPr>
          <w:rFonts w:ascii="Arial" w:hAnsi="Arial"/>
          <w:color w:val="000000"/>
          <w:sz w:val="19"/>
        </w:rPr>
        <w:t>No participant may pressure a beneficiary to appear in photos/videos or tell a personal story for fundraising or publicity.</w:t>
      </w:r>
    </w:p>
    <w:p>
      <w:pPr>
        <w:pStyle w:val="ListBullet"/>
        <w:spacing w:after="60" w:before="0" w:line="252" w:lineRule="auto"/>
        <w:ind w:left="259" w:hanging="173"/>
      </w:pPr>
      <w:r>
        <w:rPr>
          <w:rFonts w:ascii="Arial" w:hAnsi="Arial"/>
          <w:color w:val="000000"/>
          <w:sz w:val="19"/>
        </w:rPr>
        <w:t>When specialized counseling, medical, legal, child-protection, or other professional help is needed, leadership should seek qualified assistance rather than presenting participants as professionals.</w:t>
      </w:r>
    </w:p>
    <w:p>
      <w:pPr>
        <w:pStyle w:val="Heading2"/>
        <w:spacing w:before="100" w:after="60"/>
      </w:pPr>
      <w:r>
        <w:rPr>
          <w:rFonts w:ascii="Arial" w:hAnsi="Arial"/>
          <w:b/>
          <w:color w:val="000000"/>
          <w:sz w:val="22"/>
        </w:rPr>
        <w:t>9.1 Allegations Against a Participant or Leader</w:t>
      </w:r>
    </w:p>
    <w:p>
      <w:pPr>
        <w:spacing w:before="0" w:after="60" w:line="252" w:lineRule="auto"/>
      </w:pPr>
      <w:r>
        <w:rPr>
          <w:rFonts w:ascii="Arial" w:hAnsi="Arial"/>
          <w:color w:val="000000"/>
          <w:sz w:val="19"/>
        </w:rPr>
        <w:t>Safeguarding allegations are not handled solely as ordinary interpersonal conflict. Leadership must protect the potentially affected person, preserve relevant information, restrict the accused person's access when reasonably necessary, notify IFF promptly, and follow applicable reporting/legal requirements. No person should investigate an allegation in which he has a conflict of interest.</w:t>
      </w:r>
    </w:p>
    <w:p>
      <w:pPr>
        <w:pStyle w:val="Heading1"/>
        <w:spacing w:before="160" w:after="80"/>
      </w:pPr>
      <w:r>
        <w:rPr>
          <w:rFonts w:ascii="Arial" w:hAnsi="Arial"/>
          <w:b/>
          <w:color w:val="000000"/>
          <w:sz w:val="26"/>
        </w:rPr>
        <w:t>10. Confidentiality, Photography &amp; Social Media</w:t>
      </w:r>
    </w:p>
    <w:p>
      <w:pPr>
        <w:pStyle w:val="ListBullet"/>
        <w:spacing w:after="60" w:before="0" w:line="252" w:lineRule="auto"/>
        <w:ind w:left="259" w:hanging="173"/>
      </w:pPr>
      <w:r>
        <w:rPr>
          <w:rFonts w:ascii="Arial" w:hAnsi="Arial"/>
          <w:color w:val="000000"/>
          <w:sz w:val="19"/>
        </w:rPr>
        <w:t>Personal information learned through ministry is confidential unless sharing is reasonably necessary for safety, safeguarding, leadership oversight, administration, or legal reporting.</w:t>
      </w:r>
    </w:p>
    <w:p>
      <w:pPr>
        <w:pStyle w:val="ListBullet"/>
        <w:spacing w:after="60" w:before="0" w:line="252" w:lineRule="auto"/>
        <w:ind w:left="259" w:hanging="173"/>
      </w:pPr>
      <w:r>
        <w:rPr>
          <w:rFonts w:ascii="Arial" w:hAnsi="Arial"/>
          <w:color w:val="000000"/>
          <w:sz w:val="19"/>
        </w:rPr>
        <w:t>Participants should not casually share family problems, debts, abuse allegations, conversion stories, medical information, or other sensitive details.</w:t>
      </w:r>
    </w:p>
    <w:p>
      <w:pPr>
        <w:pStyle w:val="ListBullet"/>
        <w:spacing w:after="60" w:before="0" w:line="252" w:lineRule="auto"/>
        <w:ind w:left="259" w:hanging="173"/>
      </w:pPr>
      <w:r>
        <w:rPr>
          <w:rFonts w:ascii="Arial" w:hAnsi="Arial"/>
          <w:color w:val="000000"/>
          <w:sz w:val="19"/>
        </w:rPr>
        <w:t>Sensitive ministry information, house locations, vulnerable beneficiaries, security-sensitive outreach details, and identifying information should not be publicly posted without authorization.</w:t>
      </w:r>
    </w:p>
    <w:p>
      <w:pPr>
        <w:pStyle w:val="ListBullet"/>
        <w:spacing w:after="60" w:before="0" w:line="252" w:lineRule="auto"/>
        <w:ind w:left="259" w:hanging="173"/>
      </w:pPr>
      <w:r>
        <w:rPr>
          <w:rFonts w:ascii="Arial" w:hAnsi="Arial"/>
          <w:color w:val="000000"/>
          <w:sz w:val="19"/>
        </w:rPr>
        <w:t>Official ministry communications and fundraising content must follow IFF approval and communication procedures.</w:t>
      </w:r>
    </w:p>
    <w:p>
      <w:pPr>
        <w:pStyle w:val="ListBullet"/>
        <w:spacing w:after="60" w:before="0" w:line="252" w:lineRule="auto"/>
        <w:ind w:left="259" w:hanging="173"/>
      </w:pPr>
      <w:r>
        <w:rPr>
          <w:rFonts w:ascii="Arial" w:hAnsi="Arial"/>
          <w:color w:val="000000"/>
          <w:sz w:val="19"/>
        </w:rPr>
        <w:t>Participants should never value a photograph, video, testimony, or social-media post above the dignity or safety of the person being served.</w:t>
      </w:r>
    </w:p>
    <w:p>
      <w:pPr>
        <w:pStyle w:val="Heading1"/>
        <w:spacing w:before="160" w:after="80"/>
      </w:pPr>
      <w:r>
        <w:rPr>
          <w:rFonts w:ascii="Arial" w:hAnsi="Arial"/>
          <w:b/>
          <w:color w:val="000000"/>
          <w:sz w:val="26"/>
        </w:rPr>
        <w:t>11. Conflict, Correction, Discipline &amp; Removal</w:t>
      </w:r>
    </w:p>
    <w:p>
      <w:pPr>
        <w:pStyle w:val="Heading2"/>
        <w:spacing w:before="100" w:after="60"/>
      </w:pPr>
      <w:r>
        <w:rPr>
          <w:rFonts w:ascii="Arial" w:hAnsi="Arial"/>
          <w:b/>
          <w:color w:val="000000"/>
          <w:sz w:val="22"/>
        </w:rPr>
        <w:t>11.1 Ordinary Conflict</w:t>
      </w:r>
    </w:p>
    <w:p>
      <w:pPr>
        <w:spacing w:before="0" w:after="60" w:line="252" w:lineRule="auto"/>
      </w:pPr>
      <w:r>
        <w:rPr>
          <w:rFonts w:ascii="Arial" w:hAnsi="Arial"/>
          <w:color w:val="000000"/>
          <w:sz w:val="19"/>
        </w:rPr>
        <w:t>When safe and appropriate, participants should first speak respectfully with the person involved. If the issue remains unresolved, involves a power imbalance, or requires leadership help, the House Leader or another Ministry Leader should become involved. Gossip, retaliation, intimidation, and recruiting others into personal disputes are inconsistent with community life.</w:t>
      </w:r>
    </w:p>
    <w:p>
      <w:pPr>
        <w:pStyle w:val="Heading2"/>
        <w:spacing w:before="100" w:after="60"/>
      </w:pPr>
      <w:r>
        <w:rPr>
          <w:rFonts w:ascii="Arial" w:hAnsi="Arial"/>
          <w:b/>
          <w:color w:val="000000"/>
          <w:sz w:val="22"/>
        </w:rPr>
        <w:t>11.2 Normal Correction Process</w:t>
      </w:r>
    </w:p>
    <w:p>
      <w:pPr>
        <w:pStyle w:val="ListNumber"/>
        <w:spacing w:after="60" w:before="0" w:line="252" w:lineRule="auto"/>
      </w:pPr>
      <w:r>
        <w:rPr>
          <w:rFonts w:ascii="Arial" w:hAnsi="Arial"/>
          <w:color w:val="000000"/>
          <w:sz w:val="19"/>
        </w:rPr>
        <w:t>Private conversation identifying the concern.</w:t>
      </w:r>
    </w:p>
    <w:p>
      <w:pPr>
        <w:pStyle w:val="ListNumber"/>
        <w:spacing w:after="60" w:before="0" w:line="252" w:lineRule="auto"/>
      </w:pPr>
      <w:r>
        <w:rPr>
          <w:rFonts w:ascii="Arial" w:hAnsi="Arial"/>
          <w:color w:val="000000"/>
          <w:sz w:val="19"/>
        </w:rPr>
        <w:t>Clear explanation of the expected change.</w:t>
      </w:r>
    </w:p>
    <w:p>
      <w:pPr>
        <w:pStyle w:val="ListNumber"/>
        <w:spacing w:after="60" w:before="0" w:line="252" w:lineRule="auto"/>
      </w:pPr>
      <w:r>
        <w:rPr>
          <w:rFonts w:ascii="Arial" w:hAnsi="Arial"/>
          <w:color w:val="000000"/>
          <w:sz w:val="19"/>
        </w:rPr>
        <w:t>Reasonable opportunity to demonstrate improvement.</w:t>
      </w:r>
    </w:p>
    <w:p>
      <w:pPr>
        <w:pStyle w:val="ListNumber"/>
        <w:spacing w:after="60" w:before="0" w:line="252" w:lineRule="auto"/>
      </w:pPr>
      <w:r>
        <w:rPr>
          <w:rFonts w:ascii="Arial" w:hAnsi="Arial"/>
          <w:color w:val="000000"/>
          <w:sz w:val="19"/>
        </w:rPr>
        <w:t>Leadership review if the problem continues.</w:t>
      </w:r>
    </w:p>
    <w:p>
      <w:pPr>
        <w:pStyle w:val="ListNumber"/>
        <w:spacing w:after="60" w:before="0" w:line="252" w:lineRule="auto"/>
      </w:pPr>
      <w:r>
        <w:rPr>
          <w:rFonts w:ascii="Arial" w:hAnsi="Arial"/>
          <w:color w:val="000000"/>
          <w:sz w:val="19"/>
        </w:rPr>
        <w:t>Further conditions, formal warning, or ending participation/residence when appropriate.</w:t>
      </w:r>
    </w:p>
    <w:p>
      <w:pPr>
        <w:spacing w:before="0" w:after="60" w:line="252" w:lineRule="auto"/>
      </w:pPr>
      <w:r>
        <w:rPr>
          <w:rFonts w:ascii="Arial" w:hAnsi="Arial"/>
          <w:color w:val="000000"/>
          <w:sz w:val="19"/>
        </w:rPr>
        <w:t>This sequence is a normal guide, not a guaranteed entitlement to a specific number of warnings. Leadership may adjust the response according to seriousness, repetition, safety, honesty, and willingness to change.</w:t>
      </w:r>
    </w:p>
    <w:p>
      <w:pPr>
        <w:pStyle w:val="Heading2"/>
        <w:spacing w:before="100" w:after="60"/>
      </w:pPr>
      <w:r>
        <w:rPr>
          <w:rFonts w:ascii="Arial" w:hAnsi="Arial"/>
          <w:b/>
          <w:color w:val="000000"/>
          <w:sz w:val="22"/>
        </w:rPr>
        <w:t>11.3 Immediate or Serious Action</w:t>
      </w:r>
    </w:p>
    <w:p>
      <w:pPr>
        <w:spacing w:before="0" w:after="60" w:line="252" w:lineRule="auto"/>
      </w:pPr>
      <w:r>
        <w:rPr>
          <w:rFonts w:ascii="Arial" w:hAnsi="Arial"/>
          <w:color w:val="000000"/>
          <w:sz w:val="19"/>
        </w:rPr>
        <w:t>The House Leader may immediately suspend a participant from activities or require him to leave the premises temporarily when reasonably necessary to protect people or the ministry. Serious matters may bypass the normal progressive process.</w:t>
      </w:r>
    </w:p>
    <w:p>
      <w:pPr>
        <w:pStyle w:val="ListBullet"/>
        <w:spacing w:after="60" w:before="0" w:line="252" w:lineRule="auto"/>
        <w:ind w:left="259" w:hanging="173"/>
      </w:pPr>
      <w:r>
        <w:rPr>
          <w:rFonts w:ascii="Arial" w:hAnsi="Arial"/>
          <w:color w:val="000000"/>
          <w:sz w:val="19"/>
        </w:rPr>
        <w:t>Violence or credible threats.</w:t>
      </w:r>
    </w:p>
    <w:p>
      <w:pPr>
        <w:pStyle w:val="ListBullet"/>
        <w:spacing w:after="60" w:before="0" w:line="252" w:lineRule="auto"/>
        <w:ind w:left="259" w:hanging="173"/>
      </w:pPr>
      <w:r>
        <w:rPr>
          <w:rFonts w:ascii="Arial" w:hAnsi="Arial"/>
          <w:color w:val="000000"/>
          <w:sz w:val="19"/>
        </w:rPr>
        <w:t>Sexual misconduct involving a child or vulnerable person.</w:t>
      </w:r>
    </w:p>
    <w:p>
      <w:pPr>
        <w:pStyle w:val="ListBullet"/>
        <w:spacing w:after="60" w:before="0" w:line="252" w:lineRule="auto"/>
        <w:ind w:left="259" w:hanging="173"/>
      </w:pPr>
      <w:r>
        <w:rPr>
          <w:rFonts w:ascii="Arial" w:hAnsi="Arial"/>
          <w:color w:val="000000"/>
          <w:sz w:val="19"/>
        </w:rPr>
        <w:t>Serious harassment or abuse.</w:t>
      </w:r>
    </w:p>
    <w:p>
      <w:pPr>
        <w:pStyle w:val="ListBullet"/>
        <w:spacing w:after="60" w:before="0" w:line="252" w:lineRule="auto"/>
        <w:ind w:left="259" w:hanging="173"/>
      </w:pPr>
      <w:r>
        <w:rPr>
          <w:rFonts w:ascii="Arial" w:hAnsi="Arial"/>
          <w:color w:val="000000"/>
          <w:sz w:val="19"/>
        </w:rPr>
        <w:t>Theft, fraud, scamming, or deliberate financial deception involving any amount. Intentional financial deception defaults to expulsion unless explicitly overridden by DIA leadership or Aaron/IFF.</w:t>
      </w:r>
    </w:p>
    <w:p>
      <w:pPr>
        <w:pStyle w:val="ListBullet"/>
        <w:spacing w:after="60" w:before="0" w:line="252" w:lineRule="auto"/>
        <w:ind w:left="259" w:hanging="173"/>
      </w:pPr>
      <w:r>
        <w:rPr>
          <w:rFonts w:ascii="Arial" w:hAnsi="Arial"/>
          <w:color w:val="000000"/>
          <w:sz w:val="19"/>
        </w:rPr>
        <w:t>Illegal drugs or dangerous intoxication.</w:t>
      </w:r>
    </w:p>
    <w:p>
      <w:pPr>
        <w:pStyle w:val="ListBullet"/>
        <w:spacing w:after="60" w:before="0" w:line="252" w:lineRule="auto"/>
        <w:ind w:left="259" w:hanging="173"/>
      </w:pPr>
      <w:r>
        <w:rPr>
          <w:rFonts w:ascii="Arial" w:hAnsi="Arial"/>
          <w:color w:val="000000"/>
          <w:sz w:val="19"/>
        </w:rPr>
        <w:t>Weapons threats.</w:t>
      </w:r>
    </w:p>
    <w:p>
      <w:pPr>
        <w:pStyle w:val="ListBullet"/>
        <w:spacing w:after="60" w:before="0" w:line="252" w:lineRule="auto"/>
        <w:ind w:left="259" w:hanging="173"/>
      </w:pPr>
      <w:r>
        <w:rPr>
          <w:rFonts w:ascii="Arial" w:hAnsi="Arial"/>
          <w:color w:val="000000"/>
          <w:sz w:val="19"/>
        </w:rPr>
        <w:t>Deliberate serious deception affecting safety or ministry integrity.</w:t>
      </w:r>
    </w:p>
    <w:p>
      <w:pPr>
        <w:pStyle w:val="ListBullet"/>
        <w:spacing w:after="60" w:before="0" w:line="252" w:lineRule="auto"/>
        <w:ind w:left="259" w:hanging="173"/>
      </w:pPr>
      <w:r>
        <w:rPr>
          <w:rFonts w:ascii="Arial" w:hAnsi="Arial"/>
          <w:color w:val="000000"/>
          <w:sz w:val="19"/>
        </w:rPr>
        <w:t>Conduct creating an immediate safety, safeguarding, legal, or security risk.</w:t>
      </w:r>
    </w:p>
    <w:p>
      <w:pPr>
        <w:pStyle w:val="Heading2"/>
        <w:spacing w:before="100" w:after="60"/>
      </w:pPr>
      <w:r>
        <w:rPr>
          <w:rFonts w:ascii="Arial" w:hAnsi="Arial"/>
          <w:b/>
          <w:color w:val="000000"/>
          <w:sz w:val="22"/>
        </w:rPr>
        <w:t>11.4 Permanent Removal</w:t>
      </w:r>
    </w:p>
    <w:p>
      <w:pPr>
        <w:spacing w:before="0" w:after="60" w:line="252" w:lineRule="auto"/>
      </w:pPr>
      <w:r>
        <w:rPr>
          <w:rFonts w:ascii="Arial" w:hAnsi="Arial"/>
          <w:color w:val="000000"/>
          <w:sz w:val="19"/>
        </w:rPr>
        <w:t>Permanent removal of a participant normally requires agreement of at least two of the three local leaders. IFF may review or direct removal where appropriate. Leadership should consider a humane transition when circumstances permit, but safety and safeguarding take priority.</w:t>
      </w:r>
    </w:p>
    <w:p>
      <w:pPr>
        <w:pStyle w:val="Heading1"/>
        <w:spacing w:before="160" w:after="80"/>
      </w:pPr>
      <w:r>
        <w:rPr>
          <w:rFonts w:ascii="Arial" w:hAnsi="Arial"/>
          <w:b/>
          <w:color w:val="000000"/>
          <w:sz w:val="26"/>
        </w:rPr>
        <w:t>12. Complaints &amp; Appeals</w:t>
      </w:r>
    </w:p>
    <w:p>
      <w:pPr>
        <w:pStyle w:val="ListBullet"/>
        <w:spacing w:after="60" w:before="0" w:line="252" w:lineRule="auto"/>
        <w:ind w:left="259" w:hanging="173"/>
      </w:pPr>
      <w:r>
        <w:rPr>
          <w:rFonts w:ascii="Arial" w:hAnsi="Arial"/>
          <w:color w:val="000000"/>
          <w:sz w:val="19"/>
        </w:rPr>
        <w:t>A participant may raise a concern with the House Leader, another Ministry Leader, or IFF depending on the issue.</w:t>
      </w:r>
    </w:p>
    <w:p>
      <w:pPr>
        <w:pStyle w:val="ListBullet"/>
        <w:spacing w:after="60" w:before="0" w:line="252" w:lineRule="auto"/>
        <w:ind w:left="259" w:hanging="173"/>
      </w:pPr>
      <w:r>
        <w:rPr>
          <w:rFonts w:ascii="Arial" w:hAnsi="Arial"/>
          <w:color w:val="000000"/>
          <w:sz w:val="19"/>
        </w:rPr>
        <w:t>No one is required to confront an alleged abuser, threatening person, or leader directly before reporting.</w:t>
      </w:r>
    </w:p>
    <w:p>
      <w:pPr>
        <w:pStyle w:val="ListBullet"/>
        <w:spacing w:after="60" w:before="0" w:line="252" w:lineRule="auto"/>
        <w:ind w:left="259" w:hanging="173"/>
      </w:pPr>
      <w:r>
        <w:rPr>
          <w:rFonts w:ascii="Arial" w:hAnsi="Arial"/>
          <w:color w:val="000000"/>
          <w:sz w:val="19"/>
        </w:rPr>
        <w:t>Complaints should be handled discreetly and without retaliation.</w:t>
      </w:r>
    </w:p>
    <w:p>
      <w:pPr>
        <w:pStyle w:val="ListBullet"/>
        <w:spacing w:after="60" w:before="0" w:line="252" w:lineRule="auto"/>
        <w:ind w:left="259" w:hanging="173"/>
      </w:pPr>
      <w:r>
        <w:rPr>
          <w:rFonts w:ascii="Arial" w:hAnsi="Arial"/>
          <w:color w:val="000000"/>
          <w:sz w:val="19"/>
        </w:rPr>
        <w:t>Where practical, a participant affected by a significant disciplinary decision may ask another leader or IFF to review whether the policy and facts were reasonably considered.</w:t>
      </w:r>
    </w:p>
    <w:p>
      <w:pPr>
        <w:pStyle w:val="ListBullet"/>
        <w:spacing w:after="60" w:before="0" w:line="252" w:lineRule="auto"/>
        <w:ind w:left="259" w:hanging="173"/>
      </w:pPr>
      <w:r>
        <w:rPr>
          <w:rFonts w:ascii="Arial" w:hAnsi="Arial"/>
          <w:color w:val="000000"/>
          <w:sz w:val="19"/>
        </w:rPr>
        <w:t>A review does not automatically delay a safety-related suspension or removal.</w:t>
      </w:r>
    </w:p>
    <w:p>
      <w:pPr>
        <w:pStyle w:val="Heading1"/>
        <w:spacing w:before="160" w:after="80"/>
      </w:pPr>
      <w:r>
        <w:rPr>
          <w:rFonts w:ascii="Arial" w:hAnsi="Arial"/>
          <w:b/>
          <w:color w:val="000000"/>
          <w:sz w:val="26"/>
        </w:rPr>
        <w:t>13. Health, Safety, Emergencies &amp; Transportation</w:t>
      </w:r>
    </w:p>
    <w:p>
      <w:pPr>
        <w:pStyle w:val="ListBullet"/>
        <w:spacing w:after="60" w:before="0" w:line="252" w:lineRule="auto"/>
        <w:ind w:left="259" w:hanging="173"/>
      </w:pPr>
      <w:r>
        <w:rPr>
          <w:rFonts w:ascii="Arial" w:hAnsi="Arial"/>
          <w:color w:val="000000"/>
          <w:sz w:val="19"/>
        </w:rPr>
        <w:t>Each resident provides an emergency contact.</w:t>
      </w:r>
    </w:p>
    <w:p>
      <w:pPr>
        <w:pStyle w:val="ListBullet"/>
        <w:spacing w:after="60" w:before="0" w:line="252" w:lineRule="auto"/>
        <w:ind w:left="259" w:hanging="173"/>
      </w:pPr>
      <w:r>
        <w:rPr>
          <w:rFonts w:ascii="Arial" w:hAnsi="Arial"/>
          <w:color w:val="000000"/>
          <w:sz w:val="19"/>
        </w:rPr>
        <w:t>Participants disclose significant health information only when reasonably necessary for emergency safety or safe participation.</w:t>
      </w:r>
    </w:p>
    <w:p>
      <w:pPr>
        <w:pStyle w:val="ListBullet"/>
        <w:spacing w:after="60" w:before="0" w:line="252" w:lineRule="auto"/>
        <w:ind w:left="259" w:hanging="173"/>
      </w:pPr>
      <w:r>
        <w:rPr>
          <w:rFonts w:ascii="Arial" w:hAnsi="Arial"/>
          <w:color w:val="000000"/>
          <w:sz w:val="19"/>
        </w:rPr>
        <w:t>Emergency medical care and immediate safety take priority over administrative procedures.</w:t>
      </w:r>
    </w:p>
    <w:p>
      <w:pPr>
        <w:pStyle w:val="ListBullet"/>
        <w:spacing w:after="60" w:before="0" w:line="252" w:lineRule="auto"/>
        <w:ind w:left="259" w:hanging="173"/>
      </w:pPr>
      <w:r>
        <w:rPr>
          <w:rFonts w:ascii="Arial" w:hAnsi="Arial"/>
          <w:color w:val="000000"/>
          <w:sz w:val="19"/>
        </w:rPr>
        <w:t>The ministry is not automatically responsible for every participant's personal medical expense; assistance may be considered case by case.</w:t>
      </w:r>
    </w:p>
    <w:p>
      <w:pPr>
        <w:pStyle w:val="ListBullet"/>
        <w:spacing w:after="60" w:before="0" w:line="252" w:lineRule="auto"/>
        <w:ind w:left="259" w:hanging="173"/>
      </w:pPr>
      <w:r>
        <w:rPr>
          <w:rFonts w:ascii="Arial" w:hAnsi="Arial"/>
          <w:color w:val="000000"/>
          <w:sz w:val="19"/>
        </w:rPr>
        <w:t>Only authorized and appropriately licensed drivers may operate ministry vehicles.</w:t>
      </w:r>
    </w:p>
    <w:p>
      <w:pPr>
        <w:pStyle w:val="ListBullet"/>
        <w:spacing w:after="60" w:before="0" w:line="252" w:lineRule="auto"/>
        <w:ind w:left="259" w:hanging="173"/>
      </w:pPr>
      <w:r>
        <w:rPr>
          <w:rFonts w:ascii="Arial" w:hAnsi="Arial"/>
          <w:color w:val="000000"/>
          <w:sz w:val="19"/>
        </w:rPr>
        <w:t>Vehicle accidents, injuries, significant property damage, police contact, threats, missing persons, or serious security incidents must be reported promptly to the House Leader and escalated to IFF when significant.</w:t>
      </w:r>
    </w:p>
    <w:p>
      <w:pPr>
        <w:pStyle w:val="ListBullet"/>
        <w:spacing w:after="60" w:before="0" w:line="252" w:lineRule="auto"/>
        <w:ind w:left="259" w:hanging="173"/>
      </w:pPr>
      <w:r>
        <w:rPr>
          <w:rFonts w:ascii="Arial" w:hAnsi="Arial"/>
          <w:color w:val="000000"/>
          <w:sz w:val="19"/>
        </w:rPr>
        <w:t>During religious, community, or security confrontation, participants should prioritize safety, withdraw when directed, and contact leadership rather than escalating the confrontation.</w:t>
      </w:r>
    </w:p>
    <w:p>
      <w:pPr>
        <w:pStyle w:val="Heading1"/>
        <w:spacing w:before="160" w:after="80"/>
      </w:pPr>
      <w:r>
        <w:rPr>
          <w:rFonts w:ascii="Arial" w:hAnsi="Arial"/>
          <w:b/>
          <w:color w:val="000000"/>
          <w:sz w:val="26"/>
        </w:rPr>
        <w:t>14. Property &amp; Equipment</w:t>
      </w:r>
    </w:p>
    <w:p>
      <w:pPr>
        <w:pStyle w:val="ListBullet"/>
        <w:spacing w:after="60" w:before="0" w:line="252" w:lineRule="auto"/>
        <w:ind w:left="259" w:hanging="173"/>
      </w:pPr>
      <w:r>
        <w:rPr>
          <w:rFonts w:ascii="Arial" w:hAnsi="Arial"/>
          <w:color w:val="000000"/>
          <w:sz w:val="19"/>
        </w:rPr>
        <w:t>Ministry property remains ministry property and must be used for approved purposes.</w:t>
      </w:r>
    </w:p>
    <w:p>
      <w:pPr>
        <w:pStyle w:val="ListBullet"/>
        <w:spacing w:after="60" w:before="0" w:line="252" w:lineRule="auto"/>
        <w:ind w:left="259" w:hanging="173"/>
      </w:pPr>
      <w:r>
        <w:rPr>
          <w:rFonts w:ascii="Arial" w:hAnsi="Arial"/>
          <w:color w:val="000000"/>
          <w:sz w:val="19"/>
        </w:rPr>
        <w:t>Higher-value equipment should be inventoried and assigned when appropriate.</w:t>
      </w:r>
    </w:p>
    <w:p>
      <w:pPr>
        <w:pStyle w:val="ListBullet"/>
        <w:spacing w:after="60" w:before="0" w:line="252" w:lineRule="auto"/>
        <w:ind w:left="259" w:hanging="173"/>
      </w:pPr>
      <w:r>
        <w:rPr>
          <w:rFonts w:ascii="Arial" w:hAnsi="Arial"/>
          <w:color w:val="000000"/>
          <w:sz w:val="19"/>
        </w:rPr>
        <w:t>Residents take reasonable care of the house, vehicles, equipment, Bibles/materials, phones, projectors, cameras, and other assets.</w:t>
      </w:r>
    </w:p>
    <w:p>
      <w:pPr>
        <w:pStyle w:val="ListBullet"/>
        <w:spacing w:after="60" w:before="0" w:line="252" w:lineRule="auto"/>
        <w:ind w:left="259" w:hanging="173"/>
      </w:pPr>
      <w:r>
        <w:rPr>
          <w:rFonts w:ascii="Arial" w:hAnsi="Arial"/>
          <w:color w:val="000000"/>
          <w:sz w:val="19"/>
        </w:rPr>
        <w:t>Deliberate or reckless damage may result in responsibility for repayment when appropriate; ordinary wear and accidental damage are handled reasonably.</w:t>
      </w:r>
    </w:p>
    <w:p>
      <w:pPr>
        <w:pStyle w:val="ListBullet"/>
        <w:spacing w:after="60" w:before="0" w:line="252" w:lineRule="auto"/>
        <w:ind w:left="259" w:hanging="173"/>
      </w:pPr>
      <w:r>
        <w:rPr>
          <w:rFonts w:ascii="Arial" w:hAnsi="Arial"/>
          <w:color w:val="000000"/>
          <w:sz w:val="19"/>
        </w:rPr>
        <w:t>Ministry property must be returned when a participant leaves or when leadership requests it.</w:t>
      </w:r>
    </w:p>
    <w:p>
      <w:pPr>
        <w:pStyle w:val="Heading1"/>
        <w:spacing w:before="160" w:after="80"/>
      </w:pPr>
      <w:r>
        <w:rPr>
          <w:rFonts w:ascii="Arial" w:hAnsi="Arial"/>
          <w:b/>
          <w:color w:val="000000"/>
          <w:sz w:val="26"/>
        </w:rPr>
        <w:t>15. Leaving the Ministry House</w:t>
      </w:r>
    </w:p>
    <w:p>
      <w:pPr>
        <w:pStyle w:val="ListBullet"/>
        <w:spacing w:after="60" w:before="0" w:line="252" w:lineRule="auto"/>
        <w:ind w:left="259" w:hanging="173"/>
      </w:pPr>
      <w:r>
        <w:rPr>
          <w:rFonts w:ascii="Arial" w:hAnsi="Arial"/>
          <w:color w:val="000000"/>
          <w:sz w:val="19"/>
        </w:rPr>
        <w:t>A participant may leave voluntarily. When practical, he should discuss the decision with leadership beforehand.</w:t>
      </w:r>
    </w:p>
    <w:p>
      <w:pPr>
        <w:pStyle w:val="ListBullet"/>
        <w:spacing w:after="60" w:before="0" w:line="252" w:lineRule="auto"/>
        <w:ind w:left="259" w:hanging="173"/>
      </w:pPr>
      <w:r>
        <w:rPr>
          <w:rFonts w:ascii="Arial" w:hAnsi="Arial"/>
          <w:color w:val="000000"/>
          <w:sz w:val="19"/>
        </w:rPr>
        <w:t>Before leaving, ministry money/property should be accounted for and ministry property returned.</w:t>
      </w:r>
    </w:p>
    <w:p>
      <w:pPr>
        <w:pStyle w:val="ListBullet"/>
        <w:spacing w:after="60" w:before="0" w:line="252" w:lineRule="auto"/>
        <w:ind w:left="259" w:hanging="173"/>
      </w:pPr>
      <w:r>
        <w:rPr>
          <w:rFonts w:ascii="Arial" w:hAnsi="Arial"/>
          <w:color w:val="000000"/>
          <w:sz w:val="19"/>
        </w:rPr>
        <w:t>Moving out does not automatically end a person's relationship with Discipleship in Action.</w:t>
      </w:r>
    </w:p>
    <w:p>
      <w:pPr>
        <w:pStyle w:val="ListBullet"/>
        <w:spacing w:after="60" w:before="0" w:line="252" w:lineRule="auto"/>
        <w:ind w:left="259" w:hanging="173"/>
      </w:pPr>
      <w:r>
        <w:rPr>
          <w:rFonts w:ascii="Arial" w:hAnsi="Arial"/>
          <w:color w:val="000000"/>
          <w:sz w:val="19"/>
        </w:rPr>
        <w:t>A former resident may continue participating in ministry, discipleship, church/community activities, or leadership development when appropriate.</w:t>
      </w:r>
    </w:p>
    <w:p>
      <w:pPr>
        <w:pStyle w:val="ListBullet"/>
        <w:spacing w:after="60" w:before="0" w:line="252" w:lineRule="auto"/>
        <w:ind w:left="259" w:hanging="173"/>
      </w:pPr>
      <w:r>
        <w:rPr>
          <w:rFonts w:ascii="Arial" w:hAnsi="Arial"/>
          <w:color w:val="000000"/>
          <w:sz w:val="19"/>
        </w:rPr>
        <w:t>Marriage, employment, family responsibilities, relocation, or another calling may appropriately change a person's residential status.</w:t>
      </w:r>
    </w:p>
    <w:p>
      <w:pPr>
        <w:pStyle w:val="Heading1"/>
        <w:spacing w:before="160" w:after="80"/>
      </w:pPr>
      <w:r>
        <w:rPr>
          <w:rFonts w:ascii="Arial" w:hAnsi="Arial"/>
          <w:b/>
          <w:color w:val="000000"/>
          <w:sz w:val="26"/>
        </w:rPr>
        <w:t>16. Additional Standards for Leaders</w:t>
      </w:r>
    </w:p>
    <w:p>
      <w:pPr>
        <w:pStyle w:val="ListBullet"/>
        <w:spacing w:after="60" w:before="0" w:line="252" w:lineRule="auto"/>
        <w:ind w:left="259" w:hanging="173"/>
      </w:pPr>
      <w:r>
        <w:rPr>
          <w:rFonts w:ascii="Arial" w:hAnsi="Arial"/>
          <w:color w:val="000000"/>
          <w:sz w:val="19"/>
        </w:rPr>
        <w:t>Leaders model the conduct, participation, humility, financial integrity, and safeguarding standards expected of participants.</w:t>
      </w:r>
    </w:p>
    <w:p>
      <w:pPr>
        <w:pStyle w:val="ListBullet"/>
        <w:spacing w:after="60" w:before="0" w:line="252" w:lineRule="auto"/>
        <w:ind w:left="259" w:hanging="173"/>
      </w:pPr>
      <w:r>
        <w:rPr>
          <w:rFonts w:ascii="Arial" w:hAnsi="Arial"/>
          <w:color w:val="000000"/>
          <w:sz w:val="19"/>
        </w:rPr>
        <w:t>Leaders do not use their position for personal financial benefit, favoritism, sexual/romantic exploitation, retaliation, or control.</w:t>
      </w:r>
    </w:p>
    <w:p>
      <w:pPr>
        <w:pStyle w:val="ListBullet"/>
        <w:spacing w:after="60" w:before="0" w:line="252" w:lineRule="auto"/>
        <w:ind w:left="259" w:hanging="173"/>
      </w:pPr>
      <w:r>
        <w:rPr>
          <w:rFonts w:ascii="Arial" w:hAnsi="Arial"/>
          <w:color w:val="000000"/>
          <w:sz w:val="19"/>
        </w:rPr>
        <w:t>Leaders disclose conflicts of interest and step out of decisions where they cannot act impartially.</w:t>
      </w:r>
    </w:p>
    <w:p>
      <w:pPr>
        <w:pStyle w:val="ListBullet"/>
        <w:spacing w:after="60" w:before="0" w:line="252" w:lineRule="auto"/>
        <w:ind w:left="259" w:hanging="173"/>
      </w:pPr>
      <w:r>
        <w:rPr>
          <w:rFonts w:ascii="Arial" w:hAnsi="Arial"/>
          <w:color w:val="000000"/>
          <w:sz w:val="19"/>
        </w:rPr>
        <w:t>Leaders maintain required financial records, receipts/evidence, incident information, and communications with IFF.</w:t>
      </w:r>
    </w:p>
    <w:p>
      <w:pPr>
        <w:pStyle w:val="ListBullet"/>
        <w:spacing w:after="60" w:before="0" w:line="252" w:lineRule="auto"/>
        <w:ind w:left="259" w:hanging="173"/>
      </w:pPr>
      <w:r>
        <w:rPr>
          <w:rFonts w:ascii="Arial" w:hAnsi="Arial"/>
          <w:color w:val="000000"/>
          <w:sz w:val="19"/>
        </w:rPr>
        <w:t>Leaders report serious incidents promptly rather than hiding problems to protect the ministry's reputation.</w:t>
      </w:r>
    </w:p>
    <w:p>
      <w:pPr>
        <w:pStyle w:val="ListBullet"/>
        <w:spacing w:after="60" w:before="0" w:line="252" w:lineRule="auto"/>
        <w:ind w:left="259" w:hanging="173"/>
      </w:pPr>
      <w:r>
        <w:rPr>
          <w:rFonts w:ascii="Arial" w:hAnsi="Arial"/>
          <w:color w:val="000000"/>
          <w:sz w:val="19"/>
        </w:rPr>
        <w:t>Leaders develop other people rather than concentrating all responsibility and authority in themselves.</w:t>
      </w:r>
    </w:p>
    <w:p>
      <w:pPr>
        <w:pStyle w:val="Heading1"/>
        <w:spacing w:before="160" w:after="80"/>
      </w:pPr>
      <w:r>
        <w:rPr>
          <w:rFonts w:ascii="Arial" w:hAnsi="Arial"/>
          <w:b/>
          <w:color w:val="000000"/>
          <w:sz w:val="26"/>
        </w:rPr>
        <w:t>17. Quick Procedures for Leaders</w:t>
      </w:r>
    </w:p>
    <w:p>
      <w:pPr>
        <w:pStyle w:val="Heading2"/>
        <w:spacing w:before="100" w:after="60"/>
      </w:pPr>
      <w:r>
        <w:rPr>
          <w:rFonts w:ascii="Arial" w:hAnsi="Arial"/>
          <w:b/>
          <w:color w:val="000000"/>
          <w:sz w:val="22"/>
        </w:rPr>
        <w:t>A. Repeated Absence / Refusal to Participate</w:t>
      </w:r>
    </w:p>
    <w:p>
      <w:pPr>
        <w:pStyle w:val="ListNumber"/>
        <w:spacing w:after="60" w:before="0" w:line="252" w:lineRule="auto"/>
      </w:pPr>
      <w:r>
        <w:rPr>
          <w:rFonts w:ascii="Arial" w:hAnsi="Arial"/>
          <w:color w:val="000000"/>
          <w:sz w:val="19"/>
        </w:rPr>
        <w:t>Speak privately and understand the reason.</w:t>
      </w:r>
    </w:p>
    <w:p>
      <w:pPr>
        <w:pStyle w:val="ListNumber"/>
        <w:spacing w:after="60" w:before="0" w:line="252" w:lineRule="auto"/>
      </w:pPr>
      <w:r>
        <w:rPr>
          <w:rFonts w:ascii="Arial" w:hAnsi="Arial"/>
          <w:color w:val="000000"/>
          <w:sz w:val="19"/>
        </w:rPr>
        <w:t>State clearly what participation is expected.</w:t>
      </w:r>
    </w:p>
    <w:p>
      <w:pPr>
        <w:pStyle w:val="ListNumber"/>
        <w:spacing w:after="60" w:before="0" w:line="252" w:lineRule="auto"/>
      </w:pPr>
      <w:r>
        <w:rPr>
          <w:rFonts w:ascii="Arial" w:hAnsi="Arial"/>
          <w:color w:val="000000"/>
          <w:sz w:val="19"/>
        </w:rPr>
        <w:t>Agree on what improvement should look like.</w:t>
      </w:r>
    </w:p>
    <w:p>
      <w:pPr>
        <w:pStyle w:val="ListNumber"/>
        <w:spacing w:after="60" w:before="0" w:line="252" w:lineRule="auto"/>
      </w:pPr>
      <w:r>
        <w:rPr>
          <w:rFonts w:ascii="Arial" w:hAnsi="Arial"/>
          <w:color w:val="000000"/>
          <w:sz w:val="19"/>
        </w:rPr>
        <w:t>Observe whether the pattern changes.</w:t>
      </w:r>
    </w:p>
    <w:p>
      <w:pPr>
        <w:pStyle w:val="ListNumber"/>
        <w:spacing w:after="60" w:before="0" w:line="252" w:lineRule="auto"/>
      </w:pPr>
      <w:r>
        <w:rPr>
          <w:rFonts w:ascii="Arial" w:hAnsi="Arial"/>
          <w:color w:val="000000"/>
          <w:sz w:val="19"/>
        </w:rPr>
        <w:t>If it does not, two local leaders may decide that continued residence/participation is not appropriate.</w:t>
      </w:r>
    </w:p>
    <w:p>
      <w:pPr>
        <w:pStyle w:val="Heading2"/>
        <w:spacing w:before="100" w:after="60"/>
      </w:pPr>
      <w:r>
        <w:rPr>
          <w:rFonts w:ascii="Arial" w:hAnsi="Arial"/>
          <w:b/>
          <w:color w:val="000000"/>
          <w:sz w:val="22"/>
        </w:rPr>
        <w:t>B. Serious Safety or Conduct Incident</w:t>
      </w:r>
    </w:p>
    <w:p>
      <w:pPr>
        <w:pStyle w:val="ListNumber"/>
        <w:spacing w:after="60" w:before="0" w:line="252" w:lineRule="auto"/>
      </w:pPr>
      <w:r>
        <w:rPr>
          <w:rFonts w:ascii="Arial" w:hAnsi="Arial"/>
          <w:color w:val="000000"/>
          <w:sz w:val="19"/>
        </w:rPr>
        <w:t>Protect people first and stop the immediate risk.</w:t>
      </w:r>
    </w:p>
    <w:p>
      <w:pPr>
        <w:pStyle w:val="ListNumber"/>
        <w:spacing w:after="60" w:before="0" w:line="252" w:lineRule="auto"/>
      </w:pPr>
      <w:r>
        <w:rPr>
          <w:rFonts w:ascii="Arial" w:hAnsi="Arial"/>
          <w:color w:val="000000"/>
          <w:sz w:val="19"/>
        </w:rPr>
        <w:t>Separate/suspend the person when reasonably necessary.</w:t>
      </w:r>
    </w:p>
    <w:p>
      <w:pPr>
        <w:pStyle w:val="ListNumber"/>
        <w:spacing w:after="60" w:before="0" w:line="252" w:lineRule="auto"/>
      </w:pPr>
      <w:r>
        <w:rPr>
          <w:rFonts w:ascii="Arial" w:hAnsi="Arial"/>
          <w:color w:val="000000"/>
          <w:sz w:val="19"/>
        </w:rPr>
        <w:t>Notify another leader and IFF promptly for serious matters.</w:t>
      </w:r>
    </w:p>
    <w:p>
      <w:pPr>
        <w:pStyle w:val="ListNumber"/>
        <w:spacing w:after="60" w:before="0" w:line="252" w:lineRule="auto"/>
      </w:pPr>
      <w:r>
        <w:rPr>
          <w:rFonts w:ascii="Arial" w:hAnsi="Arial"/>
          <w:color w:val="000000"/>
          <w:sz w:val="19"/>
        </w:rPr>
        <w:t>Preserve receipts, messages, witness information, or other relevant evidence.</w:t>
      </w:r>
    </w:p>
    <w:p>
      <w:pPr>
        <w:pStyle w:val="ListNumber"/>
        <w:spacing w:after="60" w:before="0" w:line="252" w:lineRule="auto"/>
      </w:pPr>
      <w:r>
        <w:rPr>
          <w:rFonts w:ascii="Arial" w:hAnsi="Arial"/>
          <w:color w:val="000000"/>
          <w:sz w:val="19"/>
        </w:rPr>
        <w:t>Follow safeguarding/legal reporting requirements where applicable.</w:t>
      </w:r>
    </w:p>
    <w:p>
      <w:pPr>
        <w:pStyle w:val="ListNumber"/>
        <w:spacing w:after="60" w:before="0" w:line="252" w:lineRule="auto"/>
      </w:pPr>
      <w:r>
        <w:rPr>
          <w:rFonts w:ascii="Arial" w:hAnsi="Arial"/>
          <w:color w:val="000000"/>
          <w:sz w:val="19"/>
        </w:rPr>
        <w:t>Decide next steps without allowing the accused person to control the process.</w:t>
      </w:r>
    </w:p>
    <w:p>
      <w:pPr>
        <w:pStyle w:val="Heading2"/>
        <w:spacing w:before="100" w:after="60"/>
      </w:pPr>
      <w:r>
        <w:rPr>
          <w:rFonts w:ascii="Arial" w:hAnsi="Arial"/>
          <w:b/>
          <w:color w:val="000000"/>
          <w:sz w:val="22"/>
        </w:rPr>
        <w:t>C. Concern About a Leader</w:t>
      </w:r>
    </w:p>
    <w:p>
      <w:pPr>
        <w:pStyle w:val="ListNumber"/>
        <w:spacing w:after="60" w:before="0" w:line="252" w:lineRule="auto"/>
      </w:pPr>
      <w:r>
        <w:rPr>
          <w:rFonts w:ascii="Arial" w:hAnsi="Arial"/>
          <w:color w:val="000000"/>
          <w:sz w:val="19"/>
        </w:rPr>
        <w:t>Report to another Ministry Leader or directly to IFF.</w:t>
      </w:r>
    </w:p>
    <w:p>
      <w:pPr>
        <w:pStyle w:val="ListNumber"/>
        <w:spacing w:after="60" w:before="0" w:line="252" w:lineRule="auto"/>
      </w:pPr>
      <w:r>
        <w:rPr>
          <w:rFonts w:ascii="Arial" w:hAnsi="Arial"/>
          <w:color w:val="000000"/>
          <w:sz w:val="19"/>
        </w:rPr>
        <w:t>If immediate safety/financial integrity requires it, the other two leaders may unanimously suspend the leader's local authority temporarily.</w:t>
      </w:r>
    </w:p>
    <w:p>
      <w:pPr>
        <w:pStyle w:val="ListNumber"/>
        <w:spacing w:after="60" w:before="0" w:line="252" w:lineRule="auto"/>
      </w:pPr>
      <w:r>
        <w:rPr>
          <w:rFonts w:ascii="Arial" w:hAnsi="Arial"/>
          <w:color w:val="000000"/>
          <w:sz w:val="19"/>
        </w:rPr>
        <w:t>Document the concern and relevant facts.</w:t>
      </w:r>
    </w:p>
    <w:p>
      <w:pPr>
        <w:pStyle w:val="ListNumber"/>
        <w:spacing w:after="60" w:before="0" w:line="252" w:lineRule="auto"/>
      </w:pPr>
      <w:r>
        <w:rPr>
          <w:rFonts w:ascii="Arial" w:hAnsi="Arial"/>
          <w:color w:val="000000"/>
          <w:sz w:val="19"/>
        </w:rPr>
        <w:t>IFF reviews and makes/approves the permanent leadership decision.</w:t>
      </w:r>
    </w:p>
    <w:p>
      <w:pPr>
        <w:pStyle w:val="Heading2"/>
        <w:spacing w:before="100" w:after="60"/>
      </w:pPr>
      <w:r>
        <w:rPr>
          <w:rFonts w:ascii="Arial" w:hAnsi="Arial"/>
          <w:b/>
          <w:color w:val="000000"/>
          <w:sz w:val="22"/>
        </w:rPr>
        <w:t>D. Spending Ministry Funds</w:t>
      </w:r>
    </w:p>
    <w:p>
      <w:pPr>
        <w:pStyle w:val="ListNumber"/>
        <w:spacing w:after="60" w:before="0" w:line="252" w:lineRule="auto"/>
      </w:pPr>
      <w:r>
        <w:rPr>
          <w:rFonts w:ascii="Arial" w:hAnsi="Arial"/>
          <w:color w:val="000000"/>
          <w:sz w:val="19"/>
        </w:rPr>
        <w:t>Confirm the expense fits an approved ministry priority/category.</w:t>
      </w:r>
    </w:p>
    <w:p>
      <w:pPr>
        <w:pStyle w:val="ListNumber"/>
        <w:spacing w:after="60" w:before="0" w:line="252" w:lineRule="auto"/>
      </w:pPr>
      <w:r>
        <w:rPr>
          <w:rFonts w:ascii="Arial" w:hAnsi="Arial"/>
          <w:color w:val="000000"/>
          <w:sz w:val="19"/>
        </w:rPr>
        <w:t>Make the purchase/payment through the designated leader or approved process.</w:t>
      </w:r>
    </w:p>
    <w:p>
      <w:pPr>
        <w:pStyle w:val="ListNumber"/>
        <w:spacing w:after="60" w:before="0" w:line="252" w:lineRule="auto"/>
      </w:pPr>
      <w:r>
        <w:rPr>
          <w:rFonts w:ascii="Arial" w:hAnsi="Arial"/>
          <w:color w:val="000000"/>
          <w:sz w:val="19"/>
        </w:rPr>
        <w:t>Obtain a receipt whenever reasonably possible.</w:t>
      </w:r>
    </w:p>
    <w:p>
      <w:pPr>
        <w:pStyle w:val="ListNumber"/>
        <w:spacing w:after="60" w:before="0" w:line="252" w:lineRule="auto"/>
      </w:pPr>
      <w:r>
        <w:rPr>
          <w:rFonts w:ascii="Arial" w:hAnsi="Arial"/>
          <w:color w:val="000000"/>
          <w:sz w:val="19"/>
        </w:rPr>
        <w:t>Record date, purpose, amount, recipient/vendor, and evidence.</w:t>
      </w:r>
    </w:p>
    <w:p>
      <w:pPr>
        <w:pStyle w:val="ListNumber"/>
        <w:spacing w:after="60" w:before="0" w:line="252" w:lineRule="auto"/>
      </w:pPr>
      <w:r>
        <w:rPr>
          <w:rFonts w:ascii="Arial" w:hAnsi="Arial"/>
          <w:color w:val="000000"/>
          <w:sz w:val="19"/>
        </w:rPr>
        <w:t>Request IFF approval before a new program, significant purchase, or out-of-category spending.</w:t>
      </w:r>
    </w:p>
    <w:p>
      <w:pPr>
        <w:pStyle w:val="Heading2"/>
        <w:spacing w:before="100" w:after="60"/>
      </w:pPr>
      <w:r>
        <w:rPr>
          <w:rFonts w:ascii="Arial" w:hAnsi="Arial"/>
          <w:b/>
          <w:color w:val="000000"/>
          <w:sz w:val="22"/>
        </w:rPr>
        <w:t>E. Beneficiary Request for Money or Freedom Assistance</w:t>
      </w:r>
    </w:p>
    <w:p>
      <w:pPr>
        <w:pStyle w:val="ListNumber"/>
        <w:spacing w:after="60" w:before="0" w:line="252" w:lineRule="auto"/>
      </w:pPr>
      <w:r>
        <w:rPr>
          <w:rFonts w:ascii="Arial" w:hAnsi="Arial"/>
          <w:color w:val="000000"/>
          <w:sz w:val="19"/>
        </w:rPr>
        <w:t>Listen without making a promise.</w:t>
      </w:r>
    </w:p>
    <w:p>
      <w:pPr>
        <w:pStyle w:val="ListNumber"/>
        <w:spacing w:after="60" w:before="0" w:line="252" w:lineRule="auto"/>
      </w:pPr>
      <w:r>
        <w:rPr>
          <w:rFonts w:ascii="Arial" w:hAnsi="Arial"/>
          <w:color w:val="000000"/>
          <w:sz w:val="19"/>
        </w:rPr>
        <w:t>Record the need and relevant facts.</w:t>
      </w:r>
    </w:p>
    <w:p>
      <w:pPr>
        <w:pStyle w:val="ListNumber"/>
        <w:spacing w:after="60" w:before="0" w:line="252" w:lineRule="auto"/>
      </w:pPr>
      <w:r>
        <w:rPr>
          <w:rFonts w:ascii="Arial" w:hAnsi="Arial"/>
          <w:color w:val="000000"/>
          <w:sz w:val="19"/>
        </w:rPr>
        <w:t>Tell the person leadership/IFF must review assistance.</w:t>
      </w:r>
    </w:p>
    <w:p>
      <w:pPr>
        <w:pStyle w:val="ListNumber"/>
        <w:spacing w:after="60" w:before="0" w:line="252" w:lineRule="auto"/>
      </w:pPr>
      <w:r>
        <w:rPr>
          <w:rFonts w:ascii="Arial" w:hAnsi="Arial"/>
          <w:color w:val="000000"/>
          <w:sz w:val="19"/>
        </w:rPr>
        <w:t>Verify the situation through appropriate contacts.</w:t>
      </w:r>
    </w:p>
    <w:p>
      <w:pPr>
        <w:pStyle w:val="ListNumber"/>
        <w:spacing w:after="60" w:before="0" w:line="252" w:lineRule="auto"/>
      </w:pPr>
      <w:r>
        <w:rPr>
          <w:rFonts w:ascii="Arial" w:hAnsi="Arial"/>
          <w:color w:val="000000"/>
          <w:sz w:val="19"/>
        </w:rPr>
        <w:t>Proceed only after authorization.</w:t>
      </w:r>
    </w:p>
    <w:p>
      <w:pPr>
        <w:pStyle w:val="Heading2"/>
        <w:spacing w:before="100" w:after="60"/>
      </w:pPr>
      <w:r>
        <w:rPr>
          <w:rFonts w:ascii="Arial" w:hAnsi="Arial"/>
          <w:b/>
          <w:color w:val="000000"/>
          <w:sz w:val="22"/>
        </w:rPr>
        <w:t>F. Safeguarding Concern</w:t>
      </w:r>
    </w:p>
    <w:p>
      <w:pPr>
        <w:pStyle w:val="ListNumber"/>
        <w:spacing w:after="60" w:before="0" w:line="252" w:lineRule="auto"/>
      </w:pPr>
      <w:r>
        <w:rPr>
          <w:rFonts w:ascii="Arial" w:hAnsi="Arial"/>
          <w:color w:val="000000"/>
          <w:sz w:val="19"/>
        </w:rPr>
        <w:t>Protect the child/vulnerable person from immediate danger.</w:t>
      </w:r>
    </w:p>
    <w:p>
      <w:pPr>
        <w:pStyle w:val="ListNumber"/>
        <w:spacing w:after="60" w:before="0" w:line="252" w:lineRule="auto"/>
      </w:pPr>
      <w:r>
        <w:rPr>
          <w:rFonts w:ascii="Arial" w:hAnsi="Arial"/>
          <w:color w:val="000000"/>
          <w:sz w:val="19"/>
        </w:rPr>
        <w:t>Do not promise secrecy.</w:t>
      </w:r>
    </w:p>
    <w:p>
      <w:pPr>
        <w:pStyle w:val="ListNumber"/>
        <w:spacing w:after="60" w:before="0" w:line="252" w:lineRule="auto"/>
      </w:pPr>
      <w:r>
        <w:rPr>
          <w:rFonts w:ascii="Arial" w:hAnsi="Arial"/>
          <w:color w:val="000000"/>
          <w:sz w:val="19"/>
        </w:rPr>
        <w:t>Notify the appropriate leader and IFF promptly.</w:t>
      </w:r>
    </w:p>
    <w:p>
      <w:pPr>
        <w:pStyle w:val="ListNumber"/>
        <w:spacing w:after="60" w:before="0" w:line="252" w:lineRule="auto"/>
      </w:pPr>
      <w:r>
        <w:rPr>
          <w:rFonts w:ascii="Arial" w:hAnsi="Arial"/>
          <w:color w:val="000000"/>
          <w:sz w:val="19"/>
        </w:rPr>
        <w:t>Limit access/contact when necessary.</w:t>
      </w:r>
    </w:p>
    <w:p>
      <w:pPr>
        <w:pStyle w:val="ListNumber"/>
        <w:spacing w:after="60" w:before="0" w:line="252" w:lineRule="auto"/>
      </w:pPr>
      <w:r>
        <w:rPr>
          <w:rFonts w:ascii="Arial" w:hAnsi="Arial"/>
          <w:color w:val="000000"/>
          <w:sz w:val="19"/>
        </w:rPr>
        <w:t>Preserve information and avoid informal rumor-spreading or conflicted investigation.</w:t>
      </w:r>
    </w:p>
    <w:p>
      <w:pPr>
        <w:pStyle w:val="ListNumber"/>
        <w:spacing w:after="60" w:before="0" w:line="252" w:lineRule="auto"/>
      </w:pPr>
      <w:r>
        <w:rPr>
          <w:rFonts w:ascii="Arial" w:hAnsi="Arial"/>
          <w:color w:val="000000"/>
          <w:sz w:val="19"/>
        </w:rPr>
        <w:t>Follow applicable reporting/legal requirements and seek qualified help.</w:t>
      </w:r>
    </w:p>
    <w:p>
      <w:pPr>
        <w:pStyle w:val="Heading1"/>
        <w:spacing w:before="160" w:after="80"/>
      </w:pPr>
      <w:r>
        <w:rPr>
          <w:rFonts w:ascii="Arial" w:hAnsi="Arial"/>
          <w:b/>
          <w:color w:val="000000"/>
          <w:sz w:val="26"/>
        </w:rPr>
        <w:t>18. Participant Covenant - Short Form</w:t>
      </w:r>
    </w:p>
    <w:p>
      <w:pPr>
        <w:spacing w:before="0" w:after="60" w:line="252" w:lineRule="auto"/>
      </w:pPr>
      <w:r>
        <w:rPr>
          <w:rFonts w:ascii="Arial" w:hAnsi="Arial"/>
          <w:color w:val="000000"/>
          <w:sz w:val="19"/>
        </w:rPr>
        <w:t>A participant may sign a separate short covenant based on the following commitments:</w:t>
      </w:r>
    </w:p>
    <w:p>
      <w:pPr>
        <w:pStyle w:val="ListBullet"/>
        <w:spacing w:after="60" w:before="0" w:line="252" w:lineRule="auto"/>
        <w:ind w:left="259" w:hanging="173"/>
      </w:pPr>
      <w:r>
        <w:rPr>
          <w:rFonts w:ascii="Arial" w:hAnsi="Arial"/>
          <w:color w:val="000000"/>
          <w:sz w:val="19"/>
        </w:rPr>
        <w:t>I understand that Discipleship in Action is a Christian discipleship and ministry community.</w:t>
      </w:r>
    </w:p>
    <w:p>
      <w:pPr>
        <w:pStyle w:val="ListBullet"/>
        <w:spacing w:after="60" w:before="0" w:line="252" w:lineRule="auto"/>
        <w:ind w:left="259" w:hanging="173"/>
      </w:pPr>
      <w:r>
        <w:rPr>
          <w:rFonts w:ascii="Arial" w:hAnsi="Arial"/>
          <w:color w:val="000000"/>
          <w:sz w:val="19"/>
        </w:rPr>
        <w:t>I will participate sincerely in community life, prayer, Scripture, training, ministry, and reasonable household responsibilities.</w:t>
      </w:r>
    </w:p>
    <w:p>
      <w:pPr>
        <w:pStyle w:val="ListBullet"/>
        <w:spacing w:after="60" w:before="0" w:line="252" w:lineRule="auto"/>
        <w:ind w:left="259" w:hanging="173"/>
      </w:pPr>
      <w:r>
        <w:rPr>
          <w:rFonts w:ascii="Arial" w:hAnsi="Arial"/>
          <w:color w:val="000000"/>
          <w:sz w:val="19"/>
        </w:rPr>
        <w:t>I will treat leaders, other participants, and the people we serve with dignity and respect.</w:t>
      </w:r>
    </w:p>
    <w:p>
      <w:pPr>
        <w:pStyle w:val="ListBullet"/>
        <w:spacing w:after="60" w:before="0" w:line="252" w:lineRule="auto"/>
        <w:ind w:left="259" w:hanging="173"/>
      </w:pPr>
      <w:r>
        <w:rPr>
          <w:rFonts w:ascii="Arial" w:hAnsi="Arial"/>
          <w:color w:val="000000"/>
          <w:sz w:val="19"/>
        </w:rPr>
        <w:t>I will accept reasonable leadership, correction, and accountability.</w:t>
      </w:r>
    </w:p>
    <w:p>
      <w:pPr>
        <w:pStyle w:val="ListBullet"/>
        <w:spacing w:after="60" w:before="0" w:line="252" w:lineRule="auto"/>
        <w:ind w:left="259" w:hanging="173"/>
      </w:pPr>
      <w:r>
        <w:rPr>
          <w:rFonts w:ascii="Arial" w:hAnsi="Arial"/>
          <w:color w:val="000000"/>
          <w:sz w:val="19"/>
        </w:rPr>
        <w:t>I will protect children and vulnerable people and report serious safety or safeguarding concerns.</w:t>
      </w:r>
    </w:p>
    <w:p>
      <w:pPr>
        <w:pStyle w:val="ListBullet"/>
        <w:spacing w:after="60" w:before="0" w:line="252" w:lineRule="auto"/>
        <w:ind w:left="259" w:hanging="173"/>
      </w:pPr>
      <w:r>
        <w:rPr>
          <w:rFonts w:ascii="Arial" w:hAnsi="Arial"/>
          <w:color w:val="000000"/>
          <w:sz w:val="19"/>
        </w:rPr>
        <w:t>I will not misuse ministry money, property, relationships, or authority for personal benefit.</w:t>
      </w:r>
    </w:p>
    <w:p>
      <w:pPr>
        <w:pStyle w:val="ListBullet"/>
        <w:spacing w:after="60" w:before="0" w:line="252" w:lineRule="auto"/>
        <w:ind w:left="259" w:hanging="173"/>
      </w:pPr>
      <w:r>
        <w:rPr>
          <w:rFonts w:ascii="Arial" w:hAnsi="Arial"/>
          <w:color w:val="000000"/>
          <w:sz w:val="19"/>
        </w:rPr>
        <w:t>I understand that residence is subject to ongoing discernment and is not guaranteed for a fixed period.</w:t>
      </w:r>
    </w:p>
    <w:p>
      <w:pPr>
        <w:pStyle w:val="ListBullet"/>
        <w:spacing w:after="60" w:before="0" w:line="252" w:lineRule="auto"/>
        <w:ind w:left="259" w:hanging="173"/>
      </w:pPr>
      <w:r>
        <w:rPr>
          <w:rFonts w:ascii="Arial" w:hAnsi="Arial"/>
          <w:color w:val="000000"/>
          <w:sz w:val="19"/>
        </w:rPr>
        <w:t>If I leave the house, I will return ministry property and account for ministry funds/property in my possession.</w:t>
      </w:r>
    </w:p>
    <w:p>
      <w:pPr>
        <w:pStyle w:val="Heading1"/>
        <w:spacing w:before="160" w:after="80"/>
      </w:pPr>
      <w:r>
        <w:rPr>
          <w:rFonts w:ascii="Arial" w:hAnsi="Arial"/>
          <w:b/>
          <w:color w:val="000000"/>
          <w:sz w:val="26"/>
        </w:rPr>
        <w:t>19. Implementation Notes</w:t>
      </w:r>
    </w:p>
    <w:p>
      <w:pPr>
        <w:spacing w:after="60" w:before="0" w:line="252" w:lineRule="auto"/>
      </w:pPr>
    </w:p>
    <w:p>
      <w:pPr>
        <w:spacing w:before="0" w:after="60" w:line="252" w:lineRule="auto"/>
      </w:pPr>
      <w:r>
        <w:rPr>
          <w:rFonts w:ascii="Arial" w:hAnsi="Arial"/>
          <w:color w:val="000000"/>
          <w:sz w:val="19"/>
        </w:rPr>
        <w:t>Leadership should review this manual periodically and after any serious incident. Practical routines may be adjusted without rewriting the entire manual, but changes to governance, safeguarding, financial authority, discipline/removal, or IFF reserved authority should be documented and approved.</w:t>
      </w:r>
    </w:p>
    <w:p>
      <w:pPr>
        <w:pStyle w:val="Heading1"/>
        <w:spacing w:before="160" w:after="80"/>
      </w:pPr>
      <w:r>
        <w:rPr>
          <w:rFonts w:ascii="Arial" w:hAnsi="Arial"/>
          <w:b/>
          <w:color w:val="000000"/>
          <w:sz w:val="26"/>
        </w:rPr>
        <w:t>20. Outside Pastors, Churches &amp; Christian Leaders</w:t>
      </w:r>
    </w:p>
    <w:p>
      <w:pPr>
        <w:spacing w:before="0" w:after="60" w:line="252" w:lineRule="auto"/>
      </w:pPr>
      <w:r>
        <w:rPr>
          <w:rFonts w:ascii="Arial" w:hAnsi="Arial"/>
          <w:color w:val="000000"/>
          <w:sz w:val="19"/>
        </w:rPr>
        <w:t>Discipleship in Action has no formal connection, supervisory relationship, training role, or authority structure involving outside pastors, churches, or Christian leaders merely because of their title or position. DIA's leadership, discipleship framework, teaching direction, policies, finances, and ministry decisions remain within DIA and IFF.</w:t>
      </w:r>
    </w:p>
    <w:p>
      <w:pPr>
        <w:pStyle w:val="ListBullet"/>
        <w:spacing w:before="0" w:after="60" w:line="252" w:lineRule="auto"/>
      </w:pPr>
      <w:r>
        <w:rPr>
          <w:rFonts w:ascii="Arial" w:hAnsi="Arial"/>
          <w:color w:val="000000"/>
          <w:sz w:val="19"/>
        </w:rPr>
        <w:t>Outside pastors or church leaders do not have a standing teaching, mentoring, advisory, governing, disciplinary, financial, or supervisory role within DIA.</w:t>
      </w:r>
    </w:p>
    <w:p>
      <w:pPr>
        <w:pStyle w:val="ListBullet"/>
        <w:spacing w:before="0" w:after="60" w:line="252" w:lineRule="auto"/>
      </w:pPr>
      <w:r>
        <w:rPr>
          <w:rFonts w:ascii="Arial" w:hAnsi="Arial"/>
          <w:color w:val="000000"/>
          <w:sz w:val="19"/>
        </w:rPr>
        <w:t>A local Ministry House leadership team may invite a pastor, church leader, or other Christian whom they personally trust to participate in a specific DIA activity, gathering, outreach, prayer time, discussion, or other defined purpose.</w:t>
      </w:r>
    </w:p>
    <w:p>
      <w:pPr>
        <w:pStyle w:val="ListBullet"/>
        <w:spacing w:before="0" w:after="60" w:line="252" w:lineRule="auto"/>
      </w:pPr>
      <w:r>
        <w:rPr>
          <w:rFonts w:ascii="Arial" w:hAnsi="Arial"/>
          <w:color w:val="000000"/>
          <w:sz w:val="19"/>
        </w:rPr>
        <w:t>Such an invitation is limited to that activity or purpose. It does not create an ongoing position, authority, entitlement to return, influence over DIA training, or authority over DIA participants or leaders.</w:t>
      </w:r>
    </w:p>
    <w:p>
      <w:pPr>
        <w:pStyle w:val="ListBullet"/>
        <w:spacing w:before="0" w:after="60" w:line="252" w:lineRule="auto"/>
      </w:pPr>
      <w:r>
        <w:rPr>
          <w:rFonts w:ascii="Arial" w:hAnsi="Arial"/>
          <w:color w:val="000000"/>
          <w:sz w:val="19"/>
        </w:rPr>
        <w:t>DIA may cooperate externally with churches and pastors—for example, serving at the same brick factory, participating in an outreach, attending a gathering hosted by another group, praying together, or accepting an invitation for a DIA participant to speak.</w:t>
      </w:r>
    </w:p>
    <w:p>
      <w:pPr>
        <w:pStyle w:val="ListBullet"/>
        <w:spacing w:before="0" w:after="60" w:line="252" w:lineRule="auto"/>
      </w:pPr>
      <w:r>
        <w:rPr>
          <w:rFonts w:ascii="Arial" w:hAnsi="Arial"/>
          <w:color w:val="000000"/>
          <w:sz w:val="19"/>
        </w:rPr>
        <w:t>External cooperation does not place DIA under the pastor, church, ministry, denomination, or outside organization and does not imply endorsement of all of their teaching or practices.</w:t>
      </w:r>
    </w:p>
    <w:p>
      <w:pPr>
        <w:pStyle w:val="ListBullet"/>
        <w:spacing w:before="0" w:after="60" w:line="252" w:lineRule="auto"/>
      </w:pPr>
      <w:r>
        <w:rPr>
          <w:rFonts w:ascii="Arial" w:hAnsi="Arial"/>
          <w:color w:val="000000"/>
          <w:sz w:val="19"/>
        </w:rPr>
        <w:t>DIA leaders may decline, limit, or end outside involvement at any time. Participants should not treat an outside pastoral title as authority over DIA.</w:t>
      </w:r>
    </w:p>
    <w:sectPr w:rsidR="00FC693F" w:rsidRPr="0006063C" w:rsidSect="00034616">
      <w:footerReference w:type="default" r:id="rId9"/>
      <w:head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5"/>
      </w:rPr>
      <w:t>Discipleship in Action - Ministry House Policies &amp; Procedures | Working Policy Manual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before="0"/>
      <w:jc w:val="center"/>
    </w:pPr>
    <w:r>
      <w:rPr>
        <w:rFonts w:ascii="Arial" w:hAnsi="Arial"/>
      </w:rPr>
    </w:r>
  </w:p>
  <w:p>
    <w:pPr>
      <w:spacing w:after="40" w:before="0"/>
      <w:jc w:val="center"/>
    </w:pPr>
    <w:r>
      <w:rPr>
        <w:rFonts w:ascii="Arial" w:hAnsi="Arial"/>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ascii="Aptos" w:hAnsi="Aptos"/>
      <w:b/>
      <w:bCs/>
      <w:color w:val="17324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after="60"/>
    </w:pPr>
    <w:rPr>
      <w:rFonts w:ascii="Aptos" w:hAnsi="Aptos"/>
      <w:color w:val="24313A"/>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